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DC8" w:rsidRDefault="00DF1DC8" w:rsidP="00DF1DC8">
      <w:r>
        <w:rPr>
          <w:rFonts w:hint="eastAsia"/>
        </w:rPr>
        <w:t>諮問にかかる検討事項</w:t>
      </w:r>
    </w:p>
    <w:p w:rsidR="00DF1DC8" w:rsidRDefault="00DF1DC8" w:rsidP="00DF1DC8"/>
    <w:p w:rsidR="00DF1DC8" w:rsidRDefault="009E6A2F" w:rsidP="00DF1DC8">
      <w:r>
        <w:rPr>
          <w:rFonts w:hint="eastAsia"/>
        </w:rPr>
        <w:t>第</w:t>
      </w:r>
      <w:r w:rsidR="00DF1DC8">
        <w:rPr>
          <w:rFonts w:hint="eastAsia"/>
        </w:rPr>
        <w:t xml:space="preserve">１　</w:t>
      </w:r>
      <w:r w:rsidR="00DF1DC8" w:rsidRPr="00F53374">
        <w:rPr>
          <w:rFonts w:hint="eastAsia"/>
        </w:rPr>
        <w:t>柏市下水道事業中長期経営計画の見直し</w:t>
      </w:r>
      <w:r w:rsidR="00DF1DC8">
        <w:rPr>
          <w:rFonts w:hint="eastAsia"/>
        </w:rPr>
        <w:t>について</w:t>
      </w:r>
    </w:p>
    <w:p w:rsidR="00DF1DC8" w:rsidRPr="00AD4B9B" w:rsidRDefault="009E6A2F" w:rsidP="00DF1DC8">
      <w:pPr>
        <w:rPr>
          <w:rFonts w:ascii="ＭＳ ゴシック" w:eastAsia="ＭＳ ゴシック" w:hAnsi="ＭＳ ゴシック"/>
        </w:rPr>
      </w:pPr>
      <w:r w:rsidRPr="00AD4B9B">
        <w:rPr>
          <w:rFonts w:ascii="ＭＳ ゴシック" w:eastAsia="ＭＳ ゴシック" w:hAnsi="ＭＳ ゴシック" w:hint="eastAsia"/>
        </w:rPr>
        <w:t xml:space="preserve">１　</w:t>
      </w:r>
      <w:r w:rsidR="00DF1DC8" w:rsidRPr="00AD4B9B">
        <w:rPr>
          <w:rFonts w:ascii="ＭＳ ゴシック" w:eastAsia="ＭＳ ゴシック" w:hAnsi="ＭＳ ゴシック" w:hint="eastAsia"/>
        </w:rPr>
        <w:t>柏市下水道事業中長期経営計画とは</w:t>
      </w:r>
    </w:p>
    <w:p w:rsidR="009E6A2F" w:rsidRDefault="000F5F44" w:rsidP="000F5F44">
      <w:r>
        <w:rPr>
          <w:rFonts w:hint="eastAsia"/>
        </w:rPr>
        <w:t xml:space="preserve">　・総務省が全国の地方公営企業に策定を推進する地方公営企業の</w:t>
      </w:r>
    </w:p>
    <w:p w:rsidR="000F5F44" w:rsidRDefault="009E6A2F" w:rsidP="000F5F44">
      <w:r>
        <w:rPr>
          <w:rFonts w:hint="eastAsia"/>
        </w:rPr>
        <w:t xml:space="preserve">　　</w:t>
      </w:r>
      <w:r w:rsidR="000F5F44">
        <w:rPr>
          <w:rFonts w:hint="eastAsia"/>
        </w:rPr>
        <w:t>「経営戦略」に位置づけられる。</w:t>
      </w:r>
    </w:p>
    <w:p w:rsidR="009E6A2F" w:rsidRDefault="00DF1DC8" w:rsidP="00DF1DC8">
      <w:r>
        <w:rPr>
          <w:rFonts w:hint="eastAsia"/>
        </w:rPr>
        <w:t xml:space="preserve">　・</w:t>
      </w:r>
      <w:r w:rsidR="000F5F44">
        <w:rPr>
          <w:rFonts w:hint="eastAsia"/>
        </w:rPr>
        <w:t>下水道サービスを将来にわたり安定的に提供していくために，</w:t>
      </w:r>
    </w:p>
    <w:p w:rsidR="009E6A2F" w:rsidRDefault="009E6A2F" w:rsidP="00DF1DC8">
      <w:r>
        <w:rPr>
          <w:rFonts w:hint="eastAsia"/>
        </w:rPr>
        <w:t xml:space="preserve">　　</w:t>
      </w:r>
      <w:r w:rsidR="000F5F44">
        <w:rPr>
          <w:rFonts w:hint="eastAsia"/>
        </w:rPr>
        <w:t>中長期的な視点で計画的な経営基盤の強化と，財政マネジメン</w:t>
      </w:r>
    </w:p>
    <w:p w:rsidR="00DF1DC8" w:rsidRDefault="009E6A2F" w:rsidP="00DF1DC8">
      <w:r>
        <w:rPr>
          <w:rFonts w:hint="eastAsia"/>
        </w:rPr>
        <w:t xml:space="preserve">　　</w:t>
      </w:r>
      <w:r w:rsidR="000F5F44">
        <w:rPr>
          <w:rFonts w:hint="eastAsia"/>
        </w:rPr>
        <w:t>トの向上を目指して，</w:t>
      </w:r>
      <w:r w:rsidR="00DF1DC8">
        <w:rPr>
          <w:rFonts w:hint="eastAsia"/>
        </w:rPr>
        <w:t>平成２７年度に策定。</w:t>
      </w:r>
    </w:p>
    <w:p w:rsidR="009E6A2F" w:rsidRDefault="000F5F44" w:rsidP="00DF1DC8">
      <w:r>
        <w:rPr>
          <w:rFonts w:hint="eastAsia"/>
        </w:rPr>
        <w:t xml:space="preserve">　・計画期間は第五次総合計画と同じ，平成２８年度から</w:t>
      </w:r>
      <w:r w:rsidR="00CF27D5">
        <w:rPr>
          <w:rFonts w:hint="eastAsia"/>
        </w:rPr>
        <w:t>令和７年</w:t>
      </w:r>
    </w:p>
    <w:p w:rsidR="00DF1DC8" w:rsidRDefault="009E6A2F" w:rsidP="00DF1DC8">
      <w:r>
        <w:rPr>
          <w:rFonts w:hint="eastAsia"/>
        </w:rPr>
        <w:t xml:space="preserve">　　</w:t>
      </w:r>
      <w:r w:rsidR="00CF27D5">
        <w:rPr>
          <w:rFonts w:hint="eastAsia"/>
        </w:rPr>
        <w:t>度まで</w:t>
      </w:r>
      <w:r w:rsidR="000F5F44">
        <w:rPr>
          <w:rFonts w:hint="eastAsia"/>
        </w:rPr>
        <w:t>の</w:t>
      </w:r>
      <w:r w:rsidR="00FD00B6">
        <w:rPr>
          <w:rFonts w:hint="eastAsia"/>
        </w:rPr>
        <w:t>１０年間で，</w:t>
      </w:r>
      <w:r w:rsidR="00CF27D5">
        <w:rPr>
          <w:rFonts w:hint="eastAsia"/>
        </w:rPr>
        <w:t>５年の中間</w:t>
      </w:r>
      <w:r w:rsidR="00FD00B6">
        <w:rPr>
          <w:rFonts w:hint="eastAsia"/>
        </w:rPr>
        <w:t>年</w:t>
      </w:r>
      <w:r w:rsidR="00CF27D5">
        <w:rPr>
          <w:rFonts w:hint="eastAsia"/>
        </w:rPr>
        <w:t>で</w:t>
      </w:r>
      <w:r w:rsidR="00FD00B6">
        <w:rPr>
          <w:rFonts w:hint="eastAsia"/>
        </w:rPr>
        <w:t>見直</w:t>
      </w:r>
      <w:r w:rsidR="00CF27D5">
        <w:rPr>
          <w:rFonts w:hint="eastAsia"/>
        </w:rPr>
        <w:t>しを</w:t>
      </w:r>
      <w:r w:rsidR="00FD00B6">
        <w:rPr>
          <w:rFonts w:hint="eastAsia"/>
        </w:rPr>
        <w:t>す</w:t>
      </w:r>
      <w:r w:rsidR="00CF27D5">
        <w:rPr>
          <w:rFonts w:hint="eastAsia"/>
        </w:rPr>
        <w:t>る</w:t>
      </w:r>
      <w:r w:rsidR="00FD00B6">
        <w:rPr>
          <w:rFonts w:hint="eastAsia"/>
        </w:rPr>
        <w:t>もの。</w:t>
      </w:r>
    </w:p>
    <w:p w:rsidR="00DF1DC8" w:rsidRPr="00CF27D5" w:rsidRDefault="00DF1DC8" w:rsidP="00DF1DC8"/>
    <w:p w:rsidR="00CF27D5" w:rsidRPr="005478D0" w:rsidRDefault="00CF27D5" w:rsidP="00CF27D5">
      <w:pPr>
        <w:rPr>
          <w:rFonts w:ascii="ＭＳ ゴシック" w:eastAsia="ＭＳ ゴシック" w:hAnsi="ＭＳ ゴシック"/>
        </w:rPr>
      </w:pPr>
      <w:r w:rsidRPr="005478D0">
        <w:rPr>
          <w:rFonts w:ascii="ＭＳ ゴシック" w:eastAsia="ＭＳ ゴシック" w:hAnsi="ＭＳ ゴシック" w:hint="eastAsia"/>
        </w:rPr>
        <w:t>２　現状と課題</w:t>
      </w:r>
    </w:p>
    <w:p w:rsidR="00B0644C" w:rsidRDefault="00CF27D5" w:rsidP="00CF27D5">
      <w:r>
        <w:rPr>
          <w:rFonts w:hint="eastAsia"/>
        </w:rPr>
        <w:t xml:space="preserve">　</w:t>
      </w:r>
      <w:r w:rsidR="00B0644C">
        <w:rPr>
          <w:rFonts w:hint="eastAsia"/>
        </w:rPr>
        <w:t>(1) 財務状況に関する現状</w:t>
      </w:r>
    </w:p>
    <w:p w:rsidR="00CF27D5" w:rsidRDefault="00B0644C" w:rsidP="00CF27D5">
      <w:r>
        <w:rPr>
          <w:rFonts w:hint="eastAsia"/>
        </w:rPr>
        <w:t xml:space="preserve">　　　</w:t>
      </w:r>
      <w:r w:rsidR="009E6A2F" w:rsidRPr="00AD4B9B">
        <w:rPr>
          <w:rFonts w:hint="eastAsia"/>
          <w:u w:val="wave"/>
        </w:rPr>
        <w:t>計画策定当時の予測と比べ</w:t>
      </w:r>
      <w:r w:rsidR="00CF27D5" w:rsidRPr="00AD4B9B">
        <w:rPr>
          <w:rFonts w:hint="eastAsia"/>
          <w:u w:val="wave"/>
        </w:rPr>
        <w:t>財務状況</w:t>
      </w:r>
      <w:r w:rsidR="009E6A2F" w:rsidRPr="00AD4B9B">
        <w:rPr>
          <w:rFonts w:hint="eastAsia"/>
          <w:u w:val="wave"/>
        </w:rPr>
        <w:t>は厳しくなっている。</w:t>
      </w:r>
    </w:p>
    <w:p w:rsidR="00CF27D5" w:rsidRPr="005478D0" w:rsidRDefault="00CF27D5" w:rsidP="00CF27D5">
      <w:r>
        <w:rPr>
          <w:rFonts w:hint="eastAsia"/>
        </w:rPr>
        <w:t xml:space="preserve">　　</w:t>
      </w:r>
      <w:r w:rsidRPr="005478D0">
        <w:rPr>
          <w:rFonts w:hint="eastAsia"/>
        </w:rPr>
        <w:t>ア　収益的収支</w:t>
      </w:r>
    </w:p>
    <w:p w:rsidR="00CF27D5" w:rsidRPr="004F5EF3" w:rsidRDefault="00CF27D5" w:rsidP="00CF27D5">
      <w:pPr>
        <w:ind w:left="850" w:hangingChars="281" w:hanging="850"/>
      </w:pPr>
      <w:r>
        <w:rPr>
          <w:rFonts w:hint="eastAsia"/>
        </w:rPr>
        <w:t xml:space="preserve">　　　　使用料</w:t>
      </w:r>
      <w:r w:rsidRPr="004F5EF3">
        <w:rPr>
          <w:rFonts w:hint="eastAsia"/>
        </w:rPr>
        <w:t>収入</w:t>
      </w:r>
      <w:r>
        <w:rPr>
          <w:rFonts w:hint="eastAsia"/>
        </w:rPr>
        <w:t>の増加を上回って</w:t>
      </w:r>
      <w:r w:rsidRPr="00AD4B9B">
        <w:rPr>
          <w:rFonts w:hint="eastAsia"/>
          <w:u w:val="single"/>
        </w:rPr>
        <w:t>流域下水道維持管理負担金が増加</w:t>
      </w:r>
      <w:r w:rsidRPr="004F5EF3">
        <w:rPr>
          <w:rFonts w:hint="eastAsia"/>
        </w:rPr>
        <w:t>。</w:t>
      </w:r>
      <w:r>
        <w:rPr>
          <w:rFonts w:hint="eastAsia"/>
        </w:rPr>
        <w:t>また，県</w:t>
      </w:r>
      <w:r w:rsidRPr="004F5EF3">
        <w:rPr>
          <w:rFonts w:hint="eastAsia"/>
        </w:rPr>
        <w:t>流域下水道</w:t>
      </w:r>
      <w:r>
        <w:rPr>
          <w:rFonts w:hint="eastAsia"/>
        </w:rPr>
        <w:t>に</w:t>
      </w:r>
      <w:r w:rsidRPr="004F5EF3">
        <w:rPr>
          <w:rFonts w:hint="eastAsia"/>
        </w:rPr>
        <w:t>支払う維持管理負担金単価</w:t>
      </w:r>
      <w:r>
        <w:rPr>
          <w:rFonts w:hint="eastAsia"/>
        </w:rPr>
        <w:t>が，</w:t>
      </w:r>
      <w:r w:rsidRPr="004F5EF3">
        <w:rPr>
          <w:rFonts w:hint="eastAsia"/>
        </w:rPr>
        <w:t>R2</w:t>
      </w:r>
      <w:r>
        <w:rPr>
          <w:rFonts w:hint="eastAsia"/>
        </w:rPr>
        <w:t>年度</w:t>
      </w:r>
      <w:r w:rsidRPr="004F5EF3">
        <w:rPr>
          <w:rFonts w:hint="eastAsia"/>
        </w:rPr>
        <w:t>から</w:t>
      </w:r>
      <w:r>
        <w:rPr>
          <w:rFonts w:hint="eastAsia"/>
        </w:rPr>
        <w:t>改定される</w:t>
      </w:r>
      <w:r w:rsidRPr="004F5EF3">
        <w:rPr>
          <w:rFonts w:hint="eastAsia"/>
        </w:rPr>
        <w:t>予定。</w:t>
      </w:r>
    </w:p>
    <w:p w:rsidR="00CF27D5" w:rsidRPr="004F5EF3" w:rsidRDefault="00CF27D5" w:rsidP="00CF27D5">
      <w:pPr>
        <w:ind w:left="850" w:hangingChars="281" w:hanging="850"/>
      </w:pPr>
      <w:r w:rsidRPr="004F5EF3">
        <w:rPr>
          <w:rFonts w:hint="eastAsia"/>
        </w:rPr>
        <w:t xml:space="preserve">　　イ　資本的収支</w:t>
      </w:r>
    </w:p>
    <w:p w:rsidR="00CF27D5" w:rsidRPr="00D01587" w:rsidRDefault="00CF27D5" w:rsidP="00CF27D5">
      <w:pPr>
        <w:ind w:left="850" w:hangingChars="281" w:hanging="850"/>
      </w:pPr>
      <w:r w:rsidRPr="004F5EF3">
        <w:rPr>
          <w:rFonts w:hint="eastAsia"/>
        </w:rPr>
        <w:t xml:space="preserve">　　　　</w:t>
      </w:r>
      <w:r w:rsidRPr="00AD4B9B">
        <w:rPr>
          <w:rFonts w:hint="eastAsia"/>
          <w:u w:val="single"/>
        </w:rPr>
        <w:t>一般会計からの出資金が減額</w:t>
      </w:r>
      <w:r w:rsidR="009E6A2F">
        <w:rPr>
          <w:rFonts w:hint="eastAsia"/>
        </w:rPr>
        <w:t>されている。</w:t>
      </w:r>
      <w:r>
        <w:rPr>
          <w:rFonts w:hint="eastAsia"/>
        </w:rPr>
        <w:t>また，改築への国交付</w:t>
      </w:r>
      <w:r w:rsidRPr="004F5EF3">
        <w:rPr>
          <w:rFonts w:hint="eastAsia"/>
        </w:rPr>
        <w:t>金</w:t>
      </w:r>
      <w:r>
        <w:rPr>
          <w:rFonts w:hint="eastAsia"/>
        </w:rPr>
        <w:t>の</w:t>
      </w:r>
      <w:r w:rsidRPr="004F5EF3">
        <w:rPr>
          <w:rFonts w:hint="eastAsia"/>
        </w:rPr>
        <w:t>確保が</w:t>
      </w:r>
      <w:r>
        <w:rPr>
          <w:rFonts w:hint="eastAsia"/>
        </w:rPr>
        <w:t>厳しく</w:t>
      </w:r>
      <w:r w:rsidRPr="004F5EF3">
        <w:rPr>
          <w:rFonts w:hint="eastAsia"/>
        </w:rPr>
        <w:t>なっている</w:t>
      </w:r>
      <w:r>
        <w:rPr>
          <w:rFonts w:hint="eastAsia"/>
        </w:rPr>
        <w:t>ほか，老朽化対策事業の包括委託第２期(</w:t>
      </w:r>
      <w:r w:rsidRPr="004F5EF3">
        <w:rPr>
          <w:rFonts w:hint="eastAsia"/>
        </w:rPr>
        <w:t>R5～</w:t>
      </w:r>
      <w:r>
        <w:rPr>
          <w:rFonts w:hint="eastAsia"/>
        </w:rPr>
        <w:t>9</w:t>
      </w:r>
      <w:r>
        <w:t>)</w:t>
      </w:r>
      <w:r>
        <w:rPr>
          <w:rFonts w:hint="eastAsia"/>
        </w:rPr>
        <w:t>の費用が未確定。</w:t>
      </w:r>
    </w:p>
    <w:p w:rsidR="00CF27D5" w:rsidRDefault="00CF27D5" w:rsidP="00CF27D5">
      <w:r>
        <w:rPr>
          <w:rFonts w:hint="eastAsia"/>
        </w:rPr>
        <w:t xml:space="preserve">　　ウ　経営指標</w:t>
      </w:r>
    </w:p>
    <w:p w:rsidR="00CF27D5" w:rsidRDefault="00CF27D5" w:rsidP="00CF27D5">
      <w:pPr>
        <w:ind w:left="850" w:hangingChars="281" w:hanging="850"/>
      </w:pPr>
      <w:r>
        <w:rPr>
          <w:rFonts w:hint="eastAsia"/>
        </w:rPr>
        <w:t xml:space="preserve">　　　　経常収支比</w:t>
      </w:r>
      <w:r w:rsidRPr="004F5EF3">
        <w:rPr>
          <w:rFonts w:hint="eastAsia"/>
        </w:rPr>
        <w:t>率</w:t>
      </w:r>
      <w:r>
        <w:rPr>
          <w:rFonts w:hint="eastAsia"/>
        </w:rPr>
        <w:t>（＝経常収益÷経常費用）</w:t>
      </w:r>
      <w:r w:rsidRPr="004F5EF3">
        <w:rPr>
          <w:rFonts w:hint="eastAsia"/>
        </w:rPr>
        <w:t>は100％を確保。</w:t>
      </w:r>
      <w:r>
        <w:rPr>
          <w:rFonts w:hint="eastAsia"/>
        </w:rPr>
        <w:t>しかし，</w:t>
      </w:r>
      <w:r w:rsidRPr="004F5EF3">
        <w:rPr>
          <w:rFonts w:hint="eastAsia"/>
        </w:rPr>
        <w:t>汚水処理費</w:t>
      </w:r>
      <w:r>
        <w:rPr>
          <w:rFonts w:hint="eastAsia"/>
        </w:rPr>
        <w:t>は増加</w:t>
      </w:r>
      <w:r w:rsidRPr="004F5EF3">
        <w:rPr>
          <w:rFonts w:hint="eastAsia"/>
        </w:rPr>
        <w:t>し，</w:t>
      </w:r>
      <w:r w:rsidRPr="00AD4B9B">
        <w:rPr>
          <w:rFonts w:hint="eastAsia"/>
          <w:u w:val="single"/>
        </w:rPr>
        <w:t>経費回収率（＝使用料収入÷汚水処理費）は100％を割り込</w:t>
      </w:r>
      <w:r w:rsidR="009E6A2F" w:rsidRPr="00AD4B9B">
        <w:rPr>
          <w:rFonts w:hint="eastAsia"/>
          <w:u w:val="single"/>
        </w:rPr>
        <w:t>み</w:t>
      </w:r>
      <w:r>
        <w:rPr>
          <w:rFonts w:hint="eastAsia"/>
        </w:rPr>
        <w:t>厳しい状況にある。</w:t>
      </w:r>
    </w:p>
    <w:p w:rsidR="00CF27D5" w:rsidRDefault="00B0644C" w:rsidP="00CF27D5">
      <w:pPr>
        <w:ind w:left="850" w:hangingChars="281" w:hanging="850"/>
      </w:pPr>
      <w:r>
        <w:rPr>
          <w:rFonts w:hint="eastAsia"/>
        </w:rPr>
        <w:t xml:space="preserve">　(2) </w:t>
      </w:r>
      <w:r w:rsidR="00CF27D5">
        <w:rPr>
          <w:rFonts w:hint="eastAsia"/>
        </w:rPr>
        <w:t>財務状況に関する課題</w:t>
      </w:r>
    </w:p>
    <w:p w:rsidR="00CF27D5" w:rsidRDefault="00CF27D5" w:rsidP="00CF27D5">
      <w:pPr>
        <w:ind w:left="850" w:hangingChars="281" w:hanging="850"/>
      </w:pPr>
      <w:r>
        <w:rPr>
          <w:rFonts w:hint="eastAsia"/>
        </w:rPr>
        <w:t xml:space="preserve">　　</w:t>
      </w:r>
      <w:r w:rsidR="00647744">
        <w:rPr>
          <w:rFonts w:hint="eastAsia"/>
        </w:rPr>
        <w:t xml:space="preserve">ア　</w:t>
      </w:r>
      <w:r w:rsidRPr="00AD4B9B">
        <w:rPr>
          <w:rFonts w:hint="eastAsia"/>
          <w:u w:val="single"/>
        </w:rPr>
        <w:t>財源の確保</w:t>
      </w:r>
      <w:r w:rsidR="00EB6CD1">
        <w:rPr>
          <w:rFonts w:hint="eastAsia"/>
        </w:rPr>
        <w:t>及び汚水処理費等の経費</w:t>
      </w:r>
      <w:r>
        <w:rPr>
          <w:rFonts w:hint="eastAsia"/>
        </w:rPr>
        <w:t>抑制。</w:t>
      </w:r>
    </w:p>
    <w:p w:rsidR="00B23D1B" w:rsidRDefault="00CF27D5" w:rsidP="00CF27D5">
      <w:pPr>
        <w:ind w:left="850" w:hangingChars="281" w:hanging="850"/>
      </w:pPr>
      <w:r>
        <w:rPr>
          <w:rFonts w:hint="eastAsia"/>
        </w:rPr>
        <w:t xml:space="preserve">　　</w:t>
      </w:r>
      <w:r w:rsidR="00647744">
        <w:rPr>
          <w:rFonts w:hint="eastAsia"/>
        </w:rPr>
        <w:t xml:space="preserve">イ　</w:t>
      </w:r>
      <w:r>
        <w:rPr>
          <w:rFonts w:hint="eastAsia"/>
        </w:rPr>
        <w:t>老朽化対策費用の早期把握，実施</w:t>
      </w:r>
      <w:r w:rsidRPr="00AD4B9B">
        <w:rPr>
          <w:rFonts w:hint="eastAsia"/>
          <w:u w:val="single"/>
        </w:rPr>
        <w:t>事業の優先順位付け</w:t>
      </w:r>
      <w:r>
        <w:rPr>
          <w:rFonts w:hint="eastAsia"/>
        </w:rPr>
        <w:t>。</w:t>
      </w:r>
    </w:p>
    <w:p w:rsidR="00B23D1B" w:rsidRDefault="00B23D1B">
      <w:pPr>
        <w:widowControl/>
        <w:jc w:val="left"/>
      </w:pPr>
      <w:r>
        <w:br w:type="page"/>
      </w:r>
    </w:p>
    <w:p w:rsidR="00CF27D5" w:rsidRPr="005478D0" w:rsidRDefault="00CF27D5" w:rsidP="00CF27D5">
      <w:pPr>
        <w:rPr>
          <w:rFonts w:ascii="ＭＳ ゴシック" w:eastAsia="ＭＳ ゴシック" w:hAnsi="ＭＳ ゴシック"/>
        </w:rPr>
      </w:pPr>
      <w:bookmarkStart w:id="0" w:name="_GoBack"/>
      <w:bookmarkEnd w:id="0"/>
      <w:r w:rsidRPr="005478D0">
        <w:rPr>
          <w:rFonts w:ascii="ＭＳ ゴシック" w:eastAsia="ＭＳ ゴシック" w:hAnsi="ＭＳ ゴシック" w:hint="eastAsia"/>
          <w:noProof/>
        </w:rPr>
        <w:lastRenderedPageBreak/>
        <w:drawing>
          <wp:anchor distT="0" distB="0" distL="114300" distR="114300" simplePos="0" relativeHeight="251659264" behindDoc="0" locked="0" layoutInCell="1" allowOverlap="0" wp14:anchorId="5C02B798" wp14:editId="6F4A35D5">
            <wp:simplePos x="0" y="0"/>
            <wp:positionH relativeFrom="column">
              <wp:posOffset>3902075</wp:posOffset>
            </wp:positionH>
            <wp:positionV relativeFrom="paragraph">
              <wp:posOffset>258694</wp:posOffset>
            </wp:positionV>
            <wp:extent cx="2374900" cy="1280160"/>
            <wp:effectExtent l="0" t="114300" r="25400" b="167640"/>
            <wp:wrapSquare wrapText="left"/>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margin">
              <wp14:pctWidth>0</wp14:pctWidth>
            </wp14:sizeRelH>
            <wp14:sizeRelV relativeFrom="margin">
              <wp14:pctHeight>0</wp14:pctHeight>
            </wp14:sizeRelV>
          </wp:anchor>
        </w:drawing>
      </w:r>
      <w:r w:rsidRPr="005478D0">
        <w:rPr>
          <w:rFonts w:ascii="ＭＳ ゴシック" w:eastAsia="ＭＳ ゴシック" w:hAnsi="ＭＳ ゴシック" w:hint="eastAsia"/>
          <w:noProof/>
        </w:rPr>
        <w:t>３</w:t>
      </w:r>
      <w:r w:rsidRPr="005478D0">
        <w:rPr>
          <w:rFonts w:ascii="ＭＳ ゴシック" w:eastAsia="ＭＳ ゴシック" w:hAnsi="ＭＳ ゴシック" w:hint="eastAsia"/>
        </w:rPr>
        <w:t xml:space="preserve">　目標設定</w:t>
      </w:r>
    </w:p>
    <w:p w:rsidR="00CF27D5" w:rsidRPr="00FA72FD" w:rsidRDefault="00CF27D5" w:rsidP="00CF27D5">
      <w:r w:rsidRPr="00FA72FD">
        <w:rPr>
          <w:rFonts w:hint="eastAsia"/>
        </w:rPr>
        <w:t xml:space="preserve">　(</w:t>
      </w:r>
      <w:r w:rsidRPr="00FA72FD">
        <w:t>1</w:t>
      </w:r>
      <w:r w:rsidRPr="00FA72FD">
        <w:rPr>
          <w:rFonts w:hint="eastAsia"/>
        </w:rPr>
        <w:t>)</w:t>
      </w:r>
      <w:r w:rsidRPr="00FA72FD">
        <w:t xml:space="preserve"> </w:t>
      </w:r>
      <w:r w:rsidRPr="00FA72FD">
        <w:rPr>
          <w:rFonts w:hint="eastAsia"/>
        </w:rPr>
        <w:t>施策</w:t>
      </w:r>
    </w:p>
    <w:p w:rsidR="00CF27D5" w:rsidRPr="00B325FA" w:rsidRDefault="00CF27D5" w:rsidP="00CF27D5">
      <w:pPr>
        <w:ind w:left="565" w:hangingChars="187" w:hanging="565"/>
      </w:pPr>
      <w:r>
        <w:rPr>
          <w:rFonts w:hint="eastAsia"/>
        </w:rPr>
        <w:t xml:space="preserve">　　　国県の動向や施策等の進捗状況を踏まえ，現状と課題を分析後，ピラミッドの上位から見直していく。後期期間に実施する具体的施策に</w:t>
      </w:r>
      <w:r w:rsidRPr="004704DE">
        <w:rPr>
          <w:rFonts w:hint="eastAsia"/>
        </w:rPr>
        <w:t>ついて検討</w:t>
      </w:r>
      <w:r>
        <w:rPr>
          <w:rFonts w:hint="eastAsia"/>
        </w:rPr>
        <w:t>した後，</w:t>
      </w:r>
      <w:r w:rsidRPr="004704DE">
        <w:rPr>
          <w:rFonts w:hint="eastAsia"/>
        </w:rPr>
        <w:t>目標の</w:t>
      </w:r>
      <w:r>
        <w:rPr>
          <w:rFonts w:hint="eastAsia"/>
        </w:rPr>
        <w:t>設定，評価指標の</w:t>
      </w:r>
      <w:r w:rsidRPr="004704DE">
        <w:rPr>
          <w:rFonts w:hint="eastAsia"/>
        </w:rPr>
        <w:t>検討を行う。</w:t>
      </w:r>
    </w:p>
    <w:p w:rsidR="00CF27D5" w:rsidRDefault="00CF27D5" w:rsidP="00CF27D5">
      <w:pPr>
        <w:ind w:left="565" w:hangingChars="187" w:hanging="565"/>
      </w:pPr>
      <w:r w:rsidRPr="004704DE">
        <w:rPr>
          <w:rFonts w:hint="eastAsia"/>
        </w:rPr>
        <w:t xml:space="preserve">　(</w:t>
      </w:r>
      <w:r w:rsidRPr="004704DE">
        <w:t>2</w:t>
      </w:r>
      <w:r w:rsidRPr="004704DE">
        <w:rPr>
          <w:rFonts w:hint="eastAsia"/>
        </w:rPr>
        <w:t>)</w:t>
      </w:r>
      <w:r w:rsidRPr="004704DE">
        <w:t xml:space="preserve"> </w:t>
      </w:r>
      <w:r>
        <w:rPr>
          <w:rFonts w:hint="eastAsia"/>
        </w:rPr>
        <w:t>収支見通し</w:t>
      </w:r>
    </w:p>
    <w:p w:rsidR="00CF27D5" w:rsidRDefault="00CF27D5" w:rsidP="00CF27D5">
      <w:pPr>
        <w:ind w:left="565" w:hangingChars="187" w:hanging="565"/>
      </w:pPr>
      <w:r>
        <w:rPr>
          <w:rFonts w:hint="eastAsia"/>
        </w:rPr>
        <w:t xml:space="preserve">　　</w:t>
      </w:r>
      <w:r>
        <w:rPr>
          <w:rFonts w:cs="ＭＳ 明朝" w:hint="eastAsia"/>
        </w:rPr>
        <w:t>①</w:t>
      </w:r>
      <w:r>
        <w:rPr>
          <w:rFonts w:hint="eastAsia"/>
        </w:rPr>
        <w:t>現時点の情報を基に試算を行い，中間報告。</w:t>
      </w:r>
    </w:p>
    <w:p w:rsidR="00CF27D5" w:rsidRPr="004704DE" w:rsidRDefault="00CF27D5" w:rsidP="00CF27D5">
      <w:pPr>
        <w:ind w:left="565" w:hangingChars="187" w:hanging="565"/>
      </w:pPr>
      <w:r>
        <w:rPr>
          <w:rFonts w:hint="eastAsia"/>
        </w:rPr>
        <w:t xml:space="preserve">　　</w:t>
      </w:r>
      <w:r>
        <w:rPr>
          <w:rFonts w:cs="ＭＳ 明朝" w:hint="eastAsia"/>
        </w:rPr>
        <w:t>②</w:t>
      </w:r>
      <w:r>
        <w:rPr>
          <w:rFonts w:hint="eastAsia"/>
        </w:rPr>
        <w:t>施策及び財源等のシミュレーションを基に作成する。</w:t>
      </w:r>
    </w:p>
    <w:p w:rsidR="00CF27D5" w:rsidRPr="008E74C6" w:rsidRDefault="00CF27D5" w:rsidP="00CF27D5"/>
    <w:p w:rsidR="00CF27D5" w:rsidRPr="005478D0" w:rsidRDefault="00CF27D5" w:rsidP="00CF27D5">
      <w:pPr>
        <w:rPr>
          <w:rFonts w:ascii="ＭＳ ゴシック" w:eastAsia="ＭＳ ゴシック" w:hAnsi="ＭＳ ゴシック"/>
        </w:rPr>
      </w:pPr>
      <w:r w:rsidRPr="005478D0">
        <w:rPr>
          <w:rFonts w:ascii="ＭＳ ゴシック" w:eastAsia="ＭＳ ゴシック" w:hAnsi="ＭＳ ゴシック" w:hint="eastAsia"/>
        </w:rPr>
        <w:t>４　手法とプロセス（検討スケジュール）</w:t>
      </w:r>
    </w:p>
    <w:tbl>
      <w:tblPr>
        <w:tblStyle w:val="a3"/>
        <w:tblW w:w="0" w:type="auto"/>
        <w:tblInd w:w="562" w:type="dxa"/>
        <w:tblLook w:val="04A0" w:firstRow="1" w:lastRow="0" w:firstColumn="1" w:lastColumn="0" w:noHBand="0" w:noVBand="1"/>
      </w:tblPr>
      <w:tblGrid>
        <w:gridCol w:w="646"/>
        <w:gridCol w:w="1197"/>
        <w:gridCol w:w="1559"/>
        <w:gridCol w:w="5096"/>
      </w:tblGrid>
      <w:tr w:rsidR="00CF27D5" w:rsidTr="00E46EF1">
        <w:trPr>
          <w:trHeight w:val="449"/>
        </w:trPr>
        <w:tc>
          <w:tcPr>
            <w:tcW w:w="646" w:type="dxa"/>
            <w:vAlign w:val="center"/>
          </w:tcPr>
          <w:p w:rsidR="00CF27D5" w:rsidRDefault="00CF27D5" w:rsidP="00E46EF1">
            <w:pPr>
              <w:jc w:val="center"/>
            </w:pPr>
          </w:p>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回数</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開催月</w:t>
            </w:r>
          </w:p>
        </w:tc>
        <w:tc>
          <w:tcPr>
            <w:tcW w:w="5096"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審議</w:t>
            </w:r>
            <w:r w:rsidRPr="008A4BFD">
              <w:rPr>
                <w:rFonts w:ascii="ＭＳ 明朝" w:eastAsia="ＭＳ 明朝" w:hAnsi="ＭＳ 明朝" w:cs="Arial" w:hint="eastAsia"/>
                <w:color w:val="000000" w:themeColor="text1"/>
                <w:kern w:val="24"/>
              </w:rPr>
              <w:t>内容</w:t>
            </w:r>
            <w:r>
              <w:rPr>
                <w:rFonts w:ascii="ＭＳ 明朝" w:eastAsia="ＭＳ 明朝" w:hAnsi="ＭＳ 明朝" w:cs="Arial" w:hint="eastAsia"/>
                <w:color w:val="000000" w:themeColor="text1"/>
                <w:kern w:val="24"/>
              </w:rPr>
              <w:t>（予定）</w:t>
            </w:r>
          </w:p>
        </w:tc>
      </w:tr>
      <w:tr w:rsidR="00CF27D5" w:rsidTr="00E46EF1">
        <w:tc>
          <w:tcPr>
            <w:tcW w:w="646" w:type="dxa"/>
            <w:vMerge w:val="restart"/>
            <w:textDirection w:val="tbRlV"/>
          </w:tcPr>
          <w:p w:rsidR="00CF27D5" w:rsidRDefault="00CF27D5" w:rsidP="00E46EF1">
            <w:pPr>
              <w:ind w:left="113" w:right="113"/>
              <w:jc w:val="center"/>
            </w:pPr>
            <w:r w:rsidRPr="008A4BFD">
              <w:rPr>
                <w:rFonts w:hint="eastAsia"/>
              </w:rPr>
              <w:t>令和元年度</w:t>
            </w:r>
          </w:p>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１</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5/15(水)</w:t>
            </w:r>
          </w:p>
        </w:tc>
        <w:tc>
          <w:tcPr>
            <w:tcW w:w="5096" w:type="dxa"/>
            <w:vAlign w:val="center"/>
          </w:tcPr>
          <w:p w:rsidR="00CF27D5" w:rsidRPr="00EE2ABE" w:rsidRDefault="00CF27D5" w:rsidP="00E46EF1">
            <w:pPr>
              <w:pStyle w:val="Web"/>
              <w:snapToGrid w:val="0"/>
              <w:spacing w:before="86" w:beforeAutospacing="0" w:after="0" w:afterAutospacing="0"/>
              <w:textAlignment w:val="baseline"/>
              <w:rPr>
                <w:rFonts w:ascii="ＭＳ 明朝" w:eastAsia="ＭＳ 明朝" w:hAnsi="ＭＳ 明朝" w:cs="Arial"/>
              </w:rPr>
            </w:pPr>
            <w:r w:rsidRPr="00EE2ABE">
              <w:rPr>
                <w:rFonts w:ascii="ＭＳ 明朝" w:eastAsia="ＭＳ 明朝" w:hAnsi="ＭＳ 明朝" w:cs="Arial" w:hint="eastAsia"/>
                <w:kern w:val="24"/>
              </w:rPr>
              <w:t>・委員会への諮問</w:t>
            </w:r>
          </w:p>
          <w:p w:rsidR="00CF27D5" w:rsidRPr="00EE2ABE" w:rsidRDefault="00CF27D5" w:rsidP="00E46EF1">
            <w:pPr>
              <w:pStyle w:val="Web"/>
              <w:snapToGrid w:val="0"/>
              <w:spacing w:before="86" w:beforeAutospacing="0" w:after="0" w:afterAutospacing="0"/>
              <w:textAlignment w:val="baseline"/>
              <w:rPr>
                <w:rFonts w:ascii="ＭＳ 明朝" w:eastAsia="ＭＳ 明朝" w:hAnsi="ＭＳ 明朝" w:cs="Arial"/>
              </w:rPr>
            </w:pPr>
            <w:r w:rsidRPr="00EE2ABE">
              <w:rPr>
                <w:rFonts w:ascii="ＭＳ 明朝" w:eastAsia="ＭＳ 明朝" w:hAnsi="ＭＳ 明朝" w:cs="Arial" w:hint="eastAsia"/>
                <w:kern w:val="24"/>
              </w:rPr>
              <w:t>・見直しの背景説明</w:t>
            </w:r>
          </w:p>
        </w:tc>
      </w:tr>
      <w:tr w:rsidR="00CF27D5" w:rsidTr="00E46EF1">
        <w:tc>
          <w:tcPr>
            <w:tcW w:w="646" w:type="dxa"/>
            <w:vMerge/>
          </w:tcPr>
          <w:p w:rsidR="00CF27D5" w:rsidRDefault="00CF27D5" w:rsidP="00E46EF1"/>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２</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8</w:t>
            </w:r>
            <w:r>
              <w:rPr>
                <w:rFonts w:ascii="ＭＳ 明朝" w:eastAsia="ＭＳ 明朝" w:hAnsi="ＭＳ 明朝" w:cs="Arial" w:hint="eastAsia"/>
                <w:color w:val="000000" w:themeColor="text1"/>
                <w:kern w:val="24"/>
              </w:rPr>
              <w:t>月</w:t>
            </w:r>
          </w:p>
        </w:tc>
        <w:tc>
          <w:tcPr>
            <w:tcW w:w="5096" w:type="dxa"/>
            <w:vAlign w:val="center"/>
          </w:tcPr>
          <w:p w:rsidR="00CF27D5" w:rsidRPr="00EE2ABE" w:rsidRDefault="00CF27D5" w:rsidP="00E46EF1">
            <w:pPr>
              <w:pStyle w:val="Web"/>
              <w:snapToGrid w:val="0"/>
              <w:spacing w:before="86" w:beforeAutospacing="0" w:after="0" w:afterAutospacing="0"/>
              <w:textAlignment w:val="baseline"/>
              <w:rPr>
                <w:rFonts w:ascii="ＭＳ 明朝" w:eastAsia="ＭＳ 明朝" w:hAnsi="ＭＳ 明朝" w:cs="Arial"/>
              </w:rPr>
            </w:pPr>
            <w:r w:rsidRPr="00EE2ABE">
              <w:rPr>
                <w:rFonts w:ascii="ＭＳ 明朝" w:eastAsia="ＭＳ 明朝" w:hAnsi="ＭＳ 明朝" w:cs="Arial" w:hint="eastAsia"/>
                <w:kern w:val="24"/>
              </w:rPr>
              <w:t>・現状と課題</w:t>
            </w:r>
          </w:p>
          <w:p w:rsidR="00CF27D5" w:rsidRPr="00EE2ABE" w:rsidRDefault="00CF27D5" w:rsidP="00E46EF1">
            <w:pPr>
              <w:pStyle w:val="Web"/>
              <w:snapToGrid w:val="0"/>
              <w:spacing w:before="86" w:beforeAutospacing="0" w:after="0" w:afterAutospacing="0"/>
              <w:textAlignment w:val="baseline"/>
              <w:rPr>
                <w:rFonts w:ascii="ＭＳ 明朝" w:eastAsia="ＭＳ 明朝" w:hAnsi="ＭＳ 明朝" w:cs="Arial"/>
              </w:rPr>
            </w:pPr>
            <w:r w:rsidRPr="00EE2ABE">
              <w:rPr>
                <w:rFonts w:ascii="ＭＳ 明朝" w:eastAsia="ＭＳ 明朝" w:hAnsi="ＭＳ 明朝" w:cs="Arial" w:hint="eastAsia"/>
                <w:kern w:val="24"/>
              </w:rPr>
              <w:t>・</w:t>
            </w:r>
            <w:r>
              <w:rPr>
                <w:rFonts w:ascii="ＭＳ 明朝" w:eastAsia="ＭＳ 明朝" w:hAnsi="ＭＳ 明朝" w:cs="Arial" w:hint="eastAsia"/>
                <w:kern w:val="24"/>
              </w:rPr>
              <w:t>経営理念，</w:t>
            </w:r>
            <w:r w:rsidRPr="00EE2ABE">
              <w:rPr>
                <w:rFonts w:ascii="ＭＳ 明朝" w:eastAsia="ＭＳ 明朝" w:hAnsi="ＭＳ 明朝" w:cs="Arial" w:hint="eastAsia"/>
                <w:kern w:val="24"/>
              </w:rPr>
              <w:t>基本方針</w:t>
            </w:r>
          </w:p>
        </w:tc>
      </w:tr>
      <w:tr w:rsidR="00CF27D5" w:rsidTr="00E46EF1">
        <w:tc>
          <w:tcPr>
            <w:tcW w:w="646" w:type="dxa"/>
            <w:vMerge/>
          </w:tcPr>
          <w:p w:rsidR="00CF27D5" w:rsidRDefault="00CF27D5" w:rsidP="00E46EF1"/>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３</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11</w:t>
            </w:r>
            <w:r>
              <w:rPr>
                <w:rFonts w:ascii="ＭＳ 明朝" w:eastAsia="ＭＳ 明朝" w:hAnsi="ＭＳ 明朝" w:cs="Arial" w:hint="eastAsia"/>
                <w:color w:val="000000" w:themeColor="text1"/>
                <w:kern w:val="24"/>
              </w:rPr>
              <w:t>月</w:t>
            </w:r>
          </w:p>
        </w:tc>
        <w:tc>
          <w:tcPr>
            <w:tcW w:w="5096" w:type="dxa"/>
            <w:vAlign w:val="center"/>
          </w:tcPr>
          <w:p w:rsidR="004A71DF" w:rsidRDefault="004A71DF" w:rsidP="00E46EF1">
            <w:pPr>
              <w:pStyle w:val="Web"/>
              <w:snapToGrid w:val="0"/>
              <w:spacing w:before="86" w:beforeAutospacing="0" w:after="0" w:afterAutospacing="0"/>
              <w:textAlignment w:val="baseline"/>
              <w:rPr>
                <w:rFonts w:ascii="ＭＳ 明朝" w:eastAsia="ＭＳ 明朝" w:hAnsi="ＭＳ 明朝" w:cs="Arial"/>
                <w:color w:val="000000" w:themeColor="text1"/>
                <w:kern w:val="24"/>
              </w:rPr>
            </w:pPr>
            <w:r>
              <w:rPr>
                <w:rFonts w:ascii="ＭＳ 明朝" w:eastAsia="ＭＳ 明朝" w:hAnsi="ＭＳ 明朝" w:cs="Arial" w:hint="eastAsia"/>
                <w:color w:val="000000" w:themeColor="text1"/>
                <w:kern w:val="24"/>
              </w:rPr>
              <w:t>・中間報告</w:t>
            </w:r>
          </w:p>
          <w:p w:rsidR="00CF27D5" w:rsidRPr="008A4BFD" w:rsidRDefault="00CF27D5" w:rsidP="00E46EF1">
            <w:pPr>
              <w:pStyle w:val="Web"/>
              <w:snapToGrid w:val="0"/>
              <w:spacing w:before="86" w:beforeAutospacing="0" w:after="0" w:afterAutospacing="0"/>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・指標（目標）</w:t>
            </w:r>
          </w:p>
        </w:tc>
      </w:tr>
      <w:tr w:rsidR="00CF27D5" w:rsidTr="00E46EF1">
        <w:tc>
          <w:tcPr>
            <w:tcW w:w="646" w:type="dxa"/>
            <w:vMerge/>
          </w:tcPr>
          <w:p w:rsidR="00CF27D5" w:rsidRDefault="00CF27D5" w:rsidP="00E46EF1"/>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４</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2</w:t>
            </w:r>
            <w:r>
              <w:rPr>
                <w:rFonts w:ascii="ＭＳ 明朝" w:eastAsia="ＭＳ 明朝" w:hAnsi="ＭＳ 明朝" w:cs="Arial" w:hint="eastAsia"/>
                <w:color w:val="000000" w:themeColor="text1"/>
                <w:kern w:val="24"/>
              </w:rPr>
              <w:t>月</w:t>
            </w:r>
          </w:p>
        </w:tc>
        <w:tc>
          <w:tcPr>
            <w:tcW w:w="5096" w:type="dxa"/>
            <w:vAlign w:val="center"/>
          </w:tcPr>
          <w:p w:rsidR="00CF27D5" w:rsidRPr="008A4BFD" w:rsidRDefault="00CF27D5" w:rsidP="00E46EF1">
            <w:pPr>
              <w:pStyle w:val="Web"/>
              <w:snapToGrid w:val="0"/>
              <w:spacing w:before="86" w:beforeAutospacing="0" w:after="0" w:afterAutospacing="0"/>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・事業展開（事業内容など）</w:t>
            </w:r>
          </w:p>
          <w:p w:rsidR="00CF27D5" w:rsidRPr="008A4BFD" w:rsidRDefault="00CF27D5" w:rsidP="00E46EF1">
            <w:pPr>
              <w:pStyle w:val="Web"/>
              <w:snapToGrid w:val="0"/>
              <w:spacing w:before="86" w:beforeAutospacing="0" w:after="0" w:afterAutospacing="0"/>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・収支見通し</w:t>
            </w:r>
          </w:p>
        </w:tc>
      </w:tr>
      <w:tr w:rsidR="00CF27D5" w:rsidTr="004A71DF">
        <w:trPr>
          <w:cantSplit/>
          <w:trHeight w:val="871"/>
        </w:trPr>
        <w:tc>
          <w:tcPr>
            <w:tcW w:w="646" w:type="dxa"/>
            <w:vMerge w:val="restart"/>
            <w:textDirection w:val="tbRlV"/>
          </w:tcPr>
          <w:p w:rsidR="00CF27D5" w:rsidRDefault="00CF27D5" w:rsidP="00E46EF1">
            <w:pPr>
              <w:ind w:left="113" w:right="113"/>
              <w:jc w:val="center"/>
            </w:pPr>
            <w:r w:rsidRPr="008A4BFD">
              <w:rPr>
                <w:rFonts w:hint="eastAsia"/>
              </w:rPr>
              <w:t>令和２年度</w:t>
            </w:r>
          </w:p>
        </w:tc>
        <w:tc>
          <w:tcPr>
            <w:tcW w:w="1197"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color w:val="000000" w:themeColor="text1"/>
                <w:kern w:val="24"/>
              </w:rPr>
              <w:t>５</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5</w:t>
            </w:r>
            <w:r>
              <w:rPr>
                <w:rFonts w:ascii="ＭＳ 明朝" w:eastAsia="ＭＳ 明朝" w:hAnsi="ＭＳ 明朝" w:cs="Arial" w:hint="eastAsia"/>
                <w:color w:val="000000" w:themeColor="text1"/>
                <w:kern w:val="24"/>
              </w:rPr>
              <w:t>月</w:t>
            </w:r>
          </w:p>
        </w:tc>
        <w:tc>
          <w:tcPr>
            <w:tcW w:w="5096" w:type="dxa"/>
            <w:vAlign w:val="center"/>
          </w:tcPr>
          <w:p w:rsidR="00CF27D5" w:rsidRPr="008A4BFD" w:rsidRDefault="00CF27D5" w:rsidP="00E46EF1">
            <w:pPr>
              <w:pStyle w:val="Web"/>
              <w:snapToGrid w:val="0"/>
              <w:spacing w:before="86" w:beforeAutospacing="0" w:after="0" w:afterAutospacing="0"/>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・進行管理</w:t>
            </w:r>
          </w:p>
        </w:tc>
      </w:tr>
      <w:tr w:rsidR="00CF27D5" w:rsidTr="004A71DF">
        <w:trPr>
          <w:cantSplit/>
          <w:trHeight w:val="871"/>
        </w:trPr>
        <w:tc>
          <w:tcPr>
            <w:tcW w:w="646" w:type="dxa"/>
            <w:vMerge/>
            <w:textDirection w:val="tbRlV"/>
          </w:tcPr>
          <w:p w:rsidR="00CF27D5" w:rsidRDefault="00CF27D5" w:rsidP="00E46EF1">
            <w:pPr>
              <w:ind w:left="113" w:right="113"/>
            </w:pPr>
          </w:p>
        </w:tc>
        <w:tc>
          <w:tcPr>
            <w:tcW w:w="1197" w:type="dxa"/>
            <w:vAlign w:val="center"/>
          </w:tcPr>
          <w:p w:rsidR="00CF27D5" w:rsidRPr="008A4BFD" w:rsidRDefault="00FB510C" w:rsidP="00E46EF1">
            <w:pPr>
              <w:pStyle w:val="Web"/>
              <w:spacing w:before="86" w:beforeAutospacing="0" w:after="0" w:afterAutospacing="0"/>
              <w:jc w:val="center"/>
              <w:textAlignment w:val="baseline"/>
              <w:rPr>
                <w:rFonts w:ascii="ＭＳ 明朝" w:eastAsia="ＭＳ 明朝" w:hAnsi="ＭＳ 明朝" w:cs="Arial"/>
              </w:rPr>
            </w:pPr>
            <w:r>
              <w:rPr>
                <w:rFonts w:ascii="ＭＳ 明朝" w:eastAsia="ＭＳ 明朝" w:hAnsi="ＭＳ 明朝" w:cs="Arial" w:hint="eastAsia"/>
              </w:rPr>
              <w:t>６</w:t>
            </w:r>
          </w:p>
        </w:tc>
        <w:tc>
          <w:tcPr>
            <w:tcW w:w="1559" w:type="dxa"/>
            <w:vAlign w:val="center"/>
          </w:tcPr>
          <w:p w:rsidR="00CF27D5" w:rsidRPr="008A4BFD" w:rsidRDefault="00CF27D5" w:rsidP="00E46EF1">
            <w:pPr>
              <w:pStyle w:val="Web"/>
              <w:spacing w:before="86" w:beforeAutospacing="0" w:after="0" w:afterAutospacing="0"/>
              <w:jc w:val="center"/>
              <w:textAlignment w:val="baseline"/>
              <w:rPr>
                <w:rFonts w:ascii="ＭＳ 明朝" w:eastAsia="ＭＳ 明朝" w:hAnsi="ＭＳ 明朝" w:cs="Arial"/>
              </w:rPr>
            </w:pPr>
            <w:r w:rsidRPr="008A4BFD">
              <w:rPr>
                <w:rFonts w:ascii="ＭＳ 明朝" w:eastAsia="ＭＳ 明朝" w:hAnsi="ＭＳ 明朝" w:cs="Arial"/>
                <w:color w:val="000000" w:themeColor="text1"/>
                <w:kern w:val="24"/>
              </w:rPr>
              <w:t>10</w:t>
            </w:r>
            <w:r>
              <w:rPr>
                <w:rFonts w:ascii="ＭＳ 明朝" w:eastAsia="ＭＳ 明朝" w:hAnsi="ＭＳ 明朝" w:cs="Arial" w:hint="eastAsia"/>
                <w:color w:val="000000" w:themeColor="text1"/>
                <w:kern w:val="24"/>
              </w:rPr>
              <w:t>月</w:t>
            </w:r>
          </w:p>
        </w:tc>
        <w:tc>
          <w:tcPr>
            <w:tcW w:w="5096" w:type="dxa"/>
            <w:vAlign w:val="center"/>
          </w:tcPr>
          <w:p w:rsidR="00CF27D5" w:rsidRPr="008A4BFD" w:rsidRDefault="00CF27D5" w:rsidP="00E46EF1">
            <w:pPr>
              <w:pStyle w:val="Web"/>
              <w:snapToGrid w:val="0"/>
              <w:spacing w:before="86" w:beforeAutospacing="0" w:after="0" w:afterAutospacing="0"/>
              <w:textAlignment w:val="baseline"/>
              <w:rPr>
                <w:rFonts w:ascii="ＭＳ 明朝" w:eastAsia="ＭＳ 明朝" w:hAnsi="ＭＳ 明朝" w:cs="Arial"/>
              </w:rPr>
            </w:pPr>
            <w:r w:rsidRPr="008A4BFD">
              <w:rPr>
                <w:rFonts w:ascii="ＭＳ 明朝" w:eastAsia="ＭＳ 明朝" w:hAnsi="ＭＳ 明朝" w:cs="Arial" w:hint="eastAsia"/>
                <w:color w:val="000000" w:themeColor="text1"/>
                <w:kern w:val="24"/>
              </w:rPr>
              <w:t>・諮問に対する答申</w:t>
            </w:r>
          </w:p>
        </w:tc>
      </w:tr>
    </w:tbl>
    <w:p w:rsidR="00CF27D5" w:rsidRDefault="00CF27D5" w:rsidP="00CF27D5"/>
    <w:p w:rsidR="00AD4B9B" w:rsidRDefault="00AD4B9B" w:rsidP="00DF1DC8"/>
    <w:p w:rsidR="00AD4B9B" w:rsidRDefault="00AD4B9B" w:rsidP="00DF1DC8"/>
    <w:p w:rsidR="00AD4B9B" w:rsidRDefault="00AD4B9B" w:rsidP="00DF1DC8"/>
    <w:p w:rsidR="00AD4B9B" w:rsidRDefault="00AD4B9B" w:rsidP="00DF1DC8"/>
    <w:p w:rsidR="00AD4B9B" w:rsidRDefault="00AD4B9B" w:rsidP="00DF1DC8"/>
    <w:p w:rsidR="00AD4B9B" w:rsidRDefault="00AD4B9B" w:rsidP="00DF1DC8"/>
    <w:p w:rsidR="00DF1DC8" w:rsidRDefault="00AD4B9B" w:rsidP="00DF1DC8">
      <w:r>
        <w:rPr>
          <w:rFonts w:hint="eastAsia"/>
        </w:rPr>
        <w:lastRenderedPageBreak/>
        <w:t>第</w:t>
      </w:r>
      <w:r w:rsidR="00DF1DC8">
        <w:rPr>
          <w:rFonts w:hint="eastAsia"/>
        </w:rPr>
        <w:t xml:space="preserve">２　</w:t>
      </w:r>
      <w:r w:rsidR="00DF1DC8" w:rsidRPr="00F53374">
        <w:rPr>
          <w:rFonts w:hint="eastAsia"/>
        </w:rPr>
        <w:t>公共下水道受益者負担制度の見直しについて</w:t>
      </w:r>
    </w:p>
    <w:p w:rsidR="00AD4B9B" w:rsidRPr="00AD4B9B" w:rsidRDefault="00AD4B9B" w:rsidP="00AD4B9B">
      <w:pPr>
        <w:jc w:val="left"/>
        <w:rPr>
          <w:rFonts w:ascii="ＭＳ ゴシック" w:eastAsia="ＭＳ ゴシック" w:hAnsi="ＭＳ ゴシック"/>
          <w:szCs w:val="24"/>
        </w:rPr>
      </w:pPr>
      <w:r w:rsidRPr="00AD4B9B">
        <w:rPr>
          <w:rFonts w:ascii="ＭＳ ゴシック" w:eastAsia="ＭＳ ゴシック" w:hAnsi="ＭＳ ゴシック" w:hint="eastAsia"/>
          <w:szCs w:val="24"/>
        </w:rPr>
        <w:t xml:space="preserve">１　受益者負担制度とは　</w:t>
      </w:r>
    </w:p>
    <w:p w:rsidR="00AD4B9B" w:rsidRPr="00996013" w:rsidRDefault="00AD4B9B" w:rsidP="00AD4B9B">
      <w:pPr>
        <w:ind w:leftChars="202" w:left="611" w:firstLineChars="117" w:firstLine="354"/>
        <w:jc w:val="left"/>
        <w:rPr>
          <w:szCs w:val="24"/>
        </w:rPr>
      </w:pPr>
      <w:r w:rsidRPr="00996013">
        <w:rPr>
          <w:rFonts w:hint="eastAsia"/>
          <w:szCs w:val="24"/>
        </w:rPr>
        <w:t>公共下水道</w:t>
      </w:r>
      <w:r>
        <w:rPr>
          <w:rFonts w:hint="eastAsia"/>
          <w:szCs w:val="24"/>
        </w:rPr>
        <w:t>の</w:t>
      </w:r>
      <w:r w:rsidRPr="00996013">
        <w:rPr>
          <w:rFonts w:hint="eastAsia"/>
          <w:szCs w:val="24"/>
        </w:rPr>
        <w:t>整備</w:t>
      </w:r>
      <w:r>
        <w:rPr>
          <w:rFonts w:hint="eastAsia"/>
          <w:szCs w:val="24"/>
        </w:rPr>
        <w:t>に伴う土地の資産価値の増加を「利益」と考え，直接</w:t>
      </w:r>
      <w:r w:rsidRPr="00996013">
        <w:rPr>
          <w:rFonts w:hint="eastAsia"/>
          <w:szCs w:val="24"/>
        </w:rPr>
        <w:t>利益を受ける</w:t>
      </w:r>
      <w:r>
        <w:rPr>
          <w:rFonts w:hint="eastAsia"/>
          <w:szCs w:val="24"/>
        </w:rPr>
        <w:t>者（受益者）に</w:t>
      </w:r>
      <w:r w:rsidRPr="00996013">
        <w:rPr>
          <w:rFonts w:hint="eastAsia"/>
          <w:szCs w:val="24"/>
        </w:rPr>
        <w:t>下水道建設事業費の一部を負担していただき</w:t>
      </w:r>
      <w:r>
        <w:rPr>
          <w:rFonts w:hint="eastAsia"/>
          <w:szCs w:val="24"/>
        </w:rPr>
        <w:t>，</w:t>
      </w:r>
      <w:r w:rsidRPr="00996013">
        <w:rPr>
          <w:rFonts w:hint="eastAsia"/>
          <w:szCs w:val="24"/>
        </w:rPr>
        <w:t>下水道整備の</w:t>
      </w:r>
      <w:r>
        <w:rPr>
          <w:rFonts w:hint="eastAsia"/>
          <w:szCs w:val="24"/>
        </w:rPr>
        <w:t>財源とする</w:t>
      </w:r>
      <w:r w:rsidRPr="00996013">
        <w:rPr>
          <w:rFonts w:hint="eastAsia"/>
          <w:szCs w:val="24"/>
        </w:rPr>
        <w:t>のが受益者負担制度。</w:t>
      </w:r>
    </w:p>
    <w:p w:rsidR="00AD4B9B" w:rsidRDefault="00AD4B9B" w:rsidP="00AD4B9B">
      <w:pPr>
        <w:ind w:firstLineChars="99" w:firstLine="299"/>
        <w:jc w:val="left"/>
        <w:rPr>
          <w:szCs w:val="24"/>
        </w:rPr>
      </w:pPr>
    </w:p>
    <w:p w:rsidR="00AD4B9B" w:rsidRPr="00B8079D" w:rsidRDefault="00AD4B9B" w:rsidP="00AD4B9B">
      <w:pPr>
        <w:jc w:val="left"/>
        <w:rPr>
          <w:rFonts w:ascii="ＭＳ ゴシック" w:eastAsia="ＭＳ ゴシック" w:hAnsi="ＭＳ ゴシック"/>
          <w:szCs w:val="24"/>
        </w:rPr>
      </w:pPr>
      <w:r>
        <w:rPr>
          <w:rFonts w:ascii="ＭＳ ゴシック" w:eastAsia="ＭＳ ゴシック" w:hAnsi="ＭＳ ゴシック" w:hint="eastAsia"/>
          <w:szCs w:val="24"/>
        </w:rPr>
        <w:t>２</w:t>
      </w:r>
      <w:r w:rsidRPr="00B8079D">
        <w:rPr>
          <w:rFonts w:ascii="ＭＳ ゴシック" w:eastAsia="ＭＳ ゴシック" w:hAnsi="ＭＳ ゴシック" w:hint="eastAsia"/>
          <w:szCs w:val="24"/>
        </w:rPr>
        <w:t xml:space="preserve">　現状</w:t>
      </w:r>
      <w:r w:rsidR="00443239">
        <w:rPr>
          <w:rFonts w:ascii="ＭＳ ゴシック" w:eastAsia="ＭＳ ゴシック" w:hAnsi="ＭＳ ゴシック" w:hint="eastAsia"/>
          <w:szCs w:val="24"/>
        </w:rPr>
        <w:t>と課題</w:t>
      </w:r>
    </w:p>
    <w:p w:rsidR="00AD4B9B" w:rsidRDefault="00AD4B9B" w:rsidP="00443239">
      <w:pPr>
        <w:ind w:leftChars="94" w:left="565" w:hangingChars="93" w:hanging="281"/>
        <w:jc w:val="left"/>
        <w:rPr>
          <w:szCs w:val="24"/>
        </w:rPr>
      </w:pPr>
      <w:r>
        <w:rPr>
          <w:rFonts w:hint="eastAsia"/>
          <w:szCs w:val="24"/>
        </w:rPr>
        <w:t xml:space="preserve">(1) </w:t>
      </w:r>
      <w:r w:rsidR="00554174">
        <w:rPr>
          <w:rFonts w:hint="eastAsia"/>
          <w:szCs w:val="24"/>
        </w:rPr>
        <w:t>従来，</w:t>
      </w:r>
      <w:r>
        <w:rPr>
          <w:rFonts w:hint="eastAsia"/>
          <w:szCs w:val="24"/>
        </w:rPr>
        <w:t>下水道計画</w:t>
      </w:r>
      <w:r w:rsidRPr="00B842B1">
        <w:rPr>
          <w:rFonts w:hint="eastAsia"/>
          <w:szCs w:val="24"/>
        </w:rPr>
        <w:t>区域</w:t>
      </w:r>
      <w:r>
        <w:rPr>
          <w:rFonts w:hint="eastAsia"/>
          <w:szCs w:val="24"/>
        </w:rPr>
        <w:t>の外から接続を</w:t>
      </w:r>
      <w:r w:rsidRPr="00B842B1">
        <w:rPr>
          <w:rFonts w:hint="eastAsia"/>
          <w:szCs w:val="24"/>
        </w:rPr>
        <w:t>申請</w:t>
      </w:r>
      <w:r>
        <w:rPr>
          <w:rFonts w:hint="eastAsia"/>
          <w:szCs w:val="24"/>
        </w:rPr>
        <w:t>する者</w:t>
      </w:r>
      <w:r w:rsidRPr="00B842B1">
        <w:rPr>
          <w:rFonts w:hint="eastAsia"/>
          <w:szCs w:val="24"/>
        </w:rPr>
        <w:t>に対して</w:t>
      </w:r>
      <w:r>
        <w:rPr>
          <w:rFonts w:hint="eastAsia"/>
          <w:szCs w:val="24"/>
        </w:rPr>
        <w:t>は</w:t>
      </w:r>
      <w:r w:rsidRPr="00B842B1">
        <w:rPr>
          <w:rFonts w:hint="eastAsia"/>
          <w:szCs w:val="24"/>
        </w:rPr>
        <w:t>，</w:t>
      </w:r>
      <w:r>
        <w:rPr>
          <w:rFonts w:hint="eastAsia"/>
          <w:szCs w:val="24"/>
        </w:rPr>
        <w:t>受益者者負担金に相当するものとして，区域外接続協力金（任意）の納付を依頼している</w:t>
      </w:r>
      <w:r w:rsidR="00554174">
        <w:rPr>
          <w:rFonts w:hint="eastAsia"/>
          <w:szCs w:val="24"/>
        </w:rPr>
        <w:t>が，</w:t>
      </w:r>
      <w:r>
        <w:rPr>
          <w:rFonts w:hint="eastAsia"/>
          <w:szCs w:val="24"/>
        </w:rPr>
        <w:t>平成３１年４月に，過去に区域外接続した土地を下水道計画区域に編入する計画変更を行った。</w:t>
      </w:r>
      <w:r w:rsidR="00554174">
        <w:rPr>
          <w:rFonts w:hint="eastAsia"/>
          <w:szCs w:val="24"/>
        </w:rPr>
        <w:t>そのため</w:t>
      </w:r>
      <w:r>
        <w:rPr>
          <w:rFonts w:hint="eastAsia"/>
          <w:szCs w:val="24"/>
        </w:rPr>
        <w:t>下水道計画区域に編入された土地については，法的根拠のある負担金を</w:t>
      </w:r>
      <w:r w:rsidR="0079157E">
        <w:rPr>
          <w:rFonts w:hint="eastAsia"/>
          <w:szCs w:val="24"/>
        </w:rPr>
        <w:t>徴収する義務が生じた</w:t>
      </w:r>
      <w:r>
        <w:rPr>
          <w:rFonts w:hint="eastAsia"/>
          <w:szCs w:val="24"/>
        </w:rPr>
        <w:t>。</w:t>
      </w:r>
    </w:p>
    <w:p w:rsidR="00443239" w:rsidRDefault="00443239" w:rsidP="00443239">
      <w:pPr>
        <w:ind w:leftChars="94" w:left="565" w:hangingChars="93" w:hanging="281"/>
        <w:jc w:val="left"/>
        <w:rPr>
          <w:szCs w:val="24"/>
        </w:rPr>
      </w:pPr>
      <w:r>
        <w:rPr>
          <w:rFonts w:hint="eastAsia"/>
          <w:szCs w:val="24"/>
        </w:rPr>
        <w:t>(</w:t>
      </w:r>
      <w:r w:rsidR="00554174">
        <w:rPr>
          <w:szCs w:val="24"/>
        </w:rPr>
        <w:t>2</w:t>
      </w:r>
      <w:r>
        <w:rPr>
          <w:rFonts w:hint="eastAsia"/>
          <w:szCs w:val="24"/>
        </w:rPr>
        <w:t>) 負担金は５年×４期（２０回）で納付することと条例で規定しているが，納付期間が長いことで納付管理に支障がある。</w:t>
      </w:r>
    </w:p>
    <w:p w:rsidR="00443239" w:rsidRDefault="00443239" w:rsidP="00443239">
      <w:pPr>
        <w:ind w:leftChars="94" w:left="565" w:hangingChars="93" w:hanging="281"/>
        <w:jc w:val="left"/>
        <w:rPr>
          <w:szCs w:val="24"/>
        </w:rPr>
      </w:pPr>
      <w:r>
        <w:rPr>
          <w:rFonts w:hint="eastAsia"/>
          <w:szCs w:val="24"/>
        </w:rPr>
        <w:t>(</w:t>
      </w:r>
      <w:r w:rsidR="00554174">
        <w:rPr>
          <w:szCs w:val="24"/>
        </w:rPr>
        <w:t>3</w:t>
      </w:r>
      <w:r>
        <w:rPr>
          <w:rFonts w:hint="eastAsia"/>
          <w:szCs w:val="24"/>
        </w:rPr>
        <w:t>)</w:t>
      </w:r>
      <w:r>
        <w:rPr>
          <w:szCs w:val="24"/>
        </w:rPr>
        <w:t xml:space="preserve"> </w:t>
      </w:r>
      <w:r>
        <w:rPr>
          <w:rFonts w:hint="eastAsia"/>
          <w:szCs w:val="24"/>
        </w:rPr>
        <w:t>一括納付報奨制度</w:t>
      </w:r>
      <w:r w:rsidR="00554174">
        <w:rPr>
          <w:rFonts w:hint="eastAsia"/>
          <w:szCs w:val="24"/>
        </w:rPr>
        <w:t>の在り方を見直す時期に来ている。</w:t>
      </w:r>
    </w:p>
    <w:p w:rsidR="00443239" w:rsidRPr="00443239" w:rsidRDefault="00443239" w:rsidP="00443239">
      <w:pPr>
        <w:ind w:leftChars="94" w:left="565" w:hangingChars="93" w:hanging="281"/>
        <w:jc w:val="left"/>
        <w:rPr>
          <w:szCs w:val="24"/>
        </w:rPr>
      </w:pPr>
    </w:p>
    <w:p w:rsidR="00AD4B9B" w:rsidRPr="00B8079D" w:rsidRDefault="00AD4B9B" w:rsidP="00443239">
      <w:pPr>
        <w:jc w:val="left"/>
        <w:rPr>
          <w:rFonts w:ascii="ＭＳ ゴシック" w:eastAsia="ＭＳ ゴシック" w:hAnsi="ＭＳ ゴシック"/>
          <w:szCs w:val="24"/>
        </w:rPr>
      </w:pPr>
      <w:r w:rsidRPr="00B8079D">
        <w:rPr>
          <w:rFonts w:ascii="ＭＳ ゴシック" w:eastAsia="ＭＳ ゴシック" w:hAnsi="ＭＳ ゴシック" w:hint="eastAsia"/>
          <w:szCs w:val="24"/>
        </w:rPr>
        <w:t>３　目標設定</w:t>
      </w:r>
    </w:p>
    <w:p w:rsidR="00AD4B9B" w:rsidRDefault="00AD4B9B" w:rsidP="00443239">
      <w:pPr>
        <w:ind w:leftChars="94" w:left="565" w:hangingChars="93" w:hanging="281"/>
        <w:jc w:val="left"/>
        <w:rPr>
          <w:szCs w:val="24"/>
        </w:rPr>
      </w:pPr>
      <w:r>
        <w:rPr>
          <w:rFonts w:hint="eastAsia"/>
          <w:szCs w:val="24"/>
        </w:rPr>
        <w:t>(1) 区域外接続の対象地は市街化調整区域であることから，地方自治法第224条を根拠とする「分担金」と</w:t>
      </w:r>
      <w:r w:rsidR="00443239">
        <w:rPr>
          <w:rFonts w:hint="eastAsia"/>
          <w:szCs w:val="24"/>
        </w:rPr>
        <w:t>して徴収する</w:t>
      </w:r>
      <w:r>
        <w:rPr>
          <w:rFonts w:hint="eastAsia"/>
          <w:szCs w:val="24"/>
        </w:rPr>
        <w:t>。</w:t>
      </w:r>
    </w:p>
    <w:p w:rsidR="00443239" w:rsidRDefault="00443239" w:rsidP="00443239">
      <w:pPr>
        <w:ind w:leftChars="94" w:left="565" w:hangingChars="93" w:hanging="281"/>
        <w:jc w:val="left"/>
        <w:rPr>
          <w:szCs w:val="24"/>
        </w:rPr>
      </w:pPr>
      <w:r>
        <w:rPr>
          <w:rFonts w:hint="eastAsia"/>
          <w:szCs w:val="24"/>
        </w:rPr>
        <w:t>(</w:t>
      </w:r>
      <w:r>
        <w:rPr>
          <w:szCs w:val="24"/>
        </w:rPr>
        <w:t>2</w:t>
      </w:r>
      <w:r>
        <w:rPr>
          <w:rFonts w:hint="eastAsia"/>
          <w:szCs w:val="24"/>
        </w:rPr>
        <w:t>)</w:t>
      </w:r>
      <w:r>
        <w:rPr>
          <w:szCs w:val="24"/>
        </w:rPr>
        <w:t xml:space="preserve"> </w:t>
      </w:r>
      <w:r>
        <w:rPr>
          <w:rFonts w:hint="eastAsia"/>
          <w:szCs w:val="24"/>
        </w:rPr>
        <w:t>分割徴収年数を原則３年に短縮し，事務の効率化を図る。管理コストの削減により他業務に注力することが可能となる。</w:t>
      </w:r>
    </w:p>
    <w:p w:rsidR="00554174" w:rsidRPr="00554174" w:rsidRDefault="00554174" w:rsidP="00554174">
      <w:pPr>
        <w:ind w:leftChars="94" w:left="565" w:hangingChars="93" w:hanging="281"/>
        <w:jc w:val="left"/>
        <w:rPr>
          <w:szCs w:val="24"/>
        </w:rPr>
      </w:pPr>
      <w:r>
        <w:rPr>
          <w:rFonts w:hint="eastAsia"/>
          <w:szCs w:val="24"/>
        </w:rPr>
        <w:t>(</w:t>
      </w:r>
      <w:r>
        <w:rPr>
          <w:szCs w:val="24"/>
        </w:rPr>
        <w:t>3</w:t>
      </w:r>
      <w:r>
        <w:rPr>
          <w:rFonts w:hint="eastAsia"/>
          <w:szCs w:val="24"/>
        </w:rPr>
        <w:t>)</w:t>
      </w:r>
      <w:r>
        <w:rPr>
          <w:szCs w:val="24"/>
        </w:rPr>
        <w:t xml:space="preserve"> </w:t>
      </w:r>
      <w:r w:rsidRPr="00554174">
        <w:rPr>
          <w:rFonts w:hint="eastAsia"/>
          <w:szCs w:val="24"/>
        </w:rPr>
        <w:t>費用対効果</w:t>
      </w:r>
      <w:r>
        <w:rPr>
          <w:rFonts w:hint="eastAsia"/>
          <w:szCs w:val="24"/>
        </w:rPr>
        <w:t>を</w:t>
      </w:r>
      <w:r w:rsidRPr="00554174">
        <w:rPr>
          <w:rFonts w:hint="eastAsia"/>
          <w:szCs w:val="24"/>
        </w:rPr>
        <w:t>踏まえ報奨金制度を廃止する方向で検討する。</w:t>
      </w:r>
    </w:p>
    <w:p w:rsidR="00443239" w:rsidRPr="00554174" w:rsidRDefault="00443239" w:rsidP="00443239">
      <w:pPr>
        <w:ind w:leftChars="94" w:left="565" w:hangingChars="93" w:hanging="281"/>
        <w:jc w:val="left"/>
        <w:rPr>
          <w:szCs w:val="24"/>
        </w:rPr>
      </w:pPr>
    </w:p>
    <w:p w:rsidR="00AD4B9B" w:rsidRPr="00B8079D" w:rsidRDefault="00AD4B9B" w:rsidP="00443239">
      <w:pPr>
        <w:jc w:val="left"/>
        <w:rPr>
          <w:rFonts w:ascii="ＭＳ ゴシック" w:eastAsia="ＭＳ ゴシック" w:hAnsi="ＭＳ ゴシック"/>
          <w:szCs w:val="24"/>
        </w:rPr>
      </w:pPr>
      <w:r w:rsidRPr="00B8079D">
        <w:rPr>
          <w:rFonts w:ascii="ＭＳ ゴシック" w:eastAsia="ＭＳ ゴシック" w:hAnsi="ＭＳ ゴシック" w:hint="eastAsia"/>
          <w:szCs w:val="24"/>
        </w:rPr>
        <w:t>４　手法とプロセス</w:t>
      </w:r>
    </w:p>
    <w:p w:rsidR="00AD4B9B" w:rsidRDefault="00554174" w:rsidP="00554174">
      <w:pPr>
        <w:ind w:leftChars="94" w:left="284" w:firstLineChars="117" w:firstLine="354"/>
        <w:jc w:val="left"/>
        <w:rPr>
          <w:szCs w:val="24"/>
        </w:rPr>
      </w:pPr>
      <w:r>
        <w:rPr>
          <w:rFonts w:hint="eastAsia"/>
          <w:szCs w:val="24"/>
        </w:rPr>
        <w:t>費用の削減などのメリットと，収納率低下の可能性，納付義務者の負担増などのデメリットを精査，必要な対策を検討し，</w:t>
      </w:r>
      <w:r w:rsidR="00AD4B9B">
        <w:rPr>
          <w:rFonts w:hint="eastAsia"/>
          <w:szCs w:val="24"/>
        </w:rPr>
        <w:t>法的整合性のチェック等を経た上で，令和２年第一回定例会（３月議会）で受益者負担条例</w:t>
      </w:r>
      <w:r>
        <w:rPr>
          <w:rFonts w:hint="eastAsia"/>
          <w:szCs w:val="24"/>
        </w:rPr>
        <w:t>及び施行規則</w:t>
      </w:r>
      <w:r w:rsidR="00AD4B9B">
        <w:rPr>
          <w:rFonts w:hint="eastAsia"/>
          <w:szCs w:val="24"/>
        </w:rPr>
        <w:t>の改正を目指す。</w:t>
      </w:r>
    </w:p>
    <w:p w:rsidR="00780A41" w:rsidRDefault="00780A41"/>
    <w:sectPr w:rsidR="00780A41" w:rsidSect="008D771B">
      <w:pgSz w:w="11906" w:h="16838" w:code="9"/>
      <w:pgMar w:top="1418" w:right="1418" w:bottom="1418" w:left="1418" w:header="851" w:footer="992" w:gutter="0"/>
      <w:cols w:space="425"/>
      <w:docGrid w:type="linesAndChars" w:linePitch="424" w:charSpace="127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C8"/>
    <w:rsid w:val="000F5F44"/>
    <w:rsid w:val="00443239"/>
    <w:rsid w:val="004A71DF"/>
    <w:rsid w:val="00554174"/>
    <w:rsid w:val="00647744"/>
    <w:rsid w:val="00780A41"/>
    <w:rsid w:val="0079157E"/>
    <w:rsid w:val="008D771B"/>
    <w:rsid w:val="009E6A2F"/>
    <w:rsid w:val="00AC5117"/>
    <w:rsid w:val="00AD4B9B"/>
    <w:rsid w:val="00B0644C"/>
    <w:rsid w:val="00B23D1B"/>
    <w:rsid w:val="00CF27D5"/>
    <w:rsid w:val="00DF1DC8"/>
    <w:rsid w:val="00EB6CD1"/>
    <w:rsid w:val="00FB510C"/>
    <w:rsid w:val="00FD0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C8"/>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7D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F27D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4A7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1D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DC8"/>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F27D5"/>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F27D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4">
    <w:name w:val="Balloon Text"/>
    <w:basedOn w:val="a"/>
    <w:link w:val="a5"/>
    <w:uiPriority w:val="99"/>
    <w:semiHidden/>
    <w:unhideWhenUsed/>
    <w:rsid w:val="004A7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71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5A8B102-3E69-4C4E-8C43-AEE7C78D4775}" type="doc">
      <dgm:prSet loTypeId="urn:microsoft.com/office/officeart/2005/8/layout/pyramid1" loCatId="pyramid" qsTypeId="urn:microsoft.com/office/officeart/2005/8/quickstyle/3d5" qsCatId="3D" csTypeId="urn:microsoft.com/office/officeart/2005/8/colors/accent1_2" csCatId="accent1" phldr="1"/>
      <dgm:spPr/>
    </dgm:pt>
    <dgm:pt modelId="{93BB28A2-D56F-41FD-9AAA-136340AA4F07}">
      <dgm:prSet phldrT="[テキスト]" custT="1"/>
      <dgm:spPr>
        <a:solidFill>
          <a:schemeClr val="accent1">
            <a:lumMod val="20000"/>
            <a:lumOff val="80000"/>
          </a:schemeClr>
        </a:solidFill>
      </dgm:spPr>
      <dgm:t>
        <a:bodyPr/>
        <a:lstStyle/>
        <a:p>
          <a:r>
            <a:rPr kumimoji="1" lang="ja-JP" altLang="en-US" sz="1100">
              <a:latin typeface="ＭＳ ゴシック" panose="020B0609070205080204" pitchFamily="49" charset="-128"/>
              <a:ea typeface="ＭＳ ゴシック" panose="020B0609070205080204" pitchFamily="49" charset="-128"/>
            </a:rPr>
            <a:t>経営理念</a:t>
          </a:r>
        </a:p>
      </dgm:t>
    </dgm:pt>
    <dgm:pt modelId="{B17A0D9A-FF55-4712-B794-FEB413ADF38D}" type="parTrans" cxnId="{6FEC95A9-795B-4B88-B2B0-36B551CF3C5C}">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65DC851B-CB67-4E81-AAC5-5C92A03CB600}" type="sibTrans" cxnId="{6FEC95A9-795B-4B88-B2B0-36B551CF3C5C}">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06BBEB82-C7D2-4392-993B-692AC20C1F5A}">
      <dgm:prSet phldrT="[テキスト]" custT="1"/>
      <dgm:spPr>
        <a:solidFill>
          <a:schemeClr val="accent1">
            <a:lumMod val="20000"/>
            <a:lumOff val="80000"/>
          </a:schemeClr>
        </a:solidFill>
      </dgm:spPr>
      <dgm:t>
        <a:bodyPr/>
        <a:lstStyle/>
        <a:p>
          <a:r>
            <a:rPr kumimoji="1" lang="ja-JP" altLang="en-US" sz="1100">
              <a:latin typeface="ＭＳ ゴシック" panose="020B0609070205080204" pitchFamily="49" charset="-128"/>
              <a:ea typeface="ＭＳ ゴシック" panose="020B0609070205080204" pitchFamily="49" charset="-128"/>
            </a:rPr>
            <a:t>基本方針</a:t>
          </a:r>
        </a:p>
      </dgm:t>
    </dgm:pt>
    <dgm:pt modelId="{2EEC3043-8A8B-4EE6-847F-AC746792403C}" type="parTrans" cxnId="{0428C0E5-852D-4F2F-BC7C-D9945CED8E0A}">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4C8ED6D4-12D9-48EF-806E-6EDB015A0937}" type="sibTrans" cxnId="{0428C0E5-852D-4F2F-BC7C-D9945CED8E0A}">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CD426F8A-72F8-4606-B2BD-B77675875D71}">
      <dgm:prSet phldrT="[テキスト]" custT="1"/>
      <dgm:spPr>
        <a:solidFill>
          <a:schemeClr val="accent1">
            <a:lumMod val="20000"/>
            <a:lumOff val="80000"/>
          </a:schemeClr>
        </a:solidFill>
      </dgm:spPr>
      <dgm:t>
        <a:bodyPr/>
        <a:lstStyle/>
        <a:p>
          <a:r>
            <a:rPr kumimoji="1" lang="ja-JP" altLang="en-US" sz="1100">
              <a:latin typeface="ＭＳ ゴシック" panose="020B0609070205080204" pitchFamily="49" charset="-128"/>
              <a:ea typeface="ＭＳ ゴシック" panose="020B0609070205080204" pitchFamily="49" charset="-128"/>
            </a:rPr>
            <a:t>具体的施策</a:t>
          </a:r>
        </a:p>
      </dgm:t>
    </dgm:pt>
    <dgm:pt modelId="{D74A6D33-3E9D-431C-B63C-D76D8F43D31D}" type="parTrans" cxnId="{8FF9928C-064E-402D-81C4-F7D722622CE2}">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59A393ED-4F30-41D3-828C-E929F1BAF528}" type="sibTrans" cxnId="{8FF9928C-064E-402D-81C4-F7D722622CE2}">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F7E30DB3-6D25-4BA9-BB4B-9F76ABAFF6B0}">
      <dgm:prSet custT="1"/>
      <dgm:spPr>
        <a:solidFill>
          <a:schemeClr val="accent1">
            <a:lumMod val="20000"/>
            <a:lumOff val="80000"/>
          </a:schemeClr>
        </a:solidFill>
      </dgm:spPr>
      <dgm:t>
        <a:bodyPr/>
        <a:lstStyle/>
        <a:p>
          <a:r>
            <a:rPr kumimoji="1" lang="ja-JP" altLang="en-US" sz="1100">
              <a:latin typeface="ＭＳ ゴシック" panose="020B0609070205080204" pitchFamily="49" charset="-128"/>
              <a:ea typeface="ＭＳ ゴシック" panose="020B0609070205080204" pitchFamily="49" charset="-128"/>
            </a:rPr>
            <a:t>施策</a:t>
          </a:r>
        </a:p>
      </dgm:t>
    </dgm:pt>
    <dgm:pt modelId="{EB5510A7-0C16-4818-9773-753FC3BF99BA}" type="parTrans" cxnId="{D91B912C-C2E2-444A-B2F4-ED540CEDF4CB}">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25E1CDD5-C802-4E12-88EA-B9352522D3C5}" type="sibTrans" cxnId="{D91B912C-C2E2-444A-B2F4-ED540CEDF4CB}">
      <dgm:prSet/>
      <dgm:spPr/>
      <dgm:t>
        <a:bodyPr/>
        <a:lstStyle/>
        <a:p>
          <a:endParaRPr kumimoji="1" lang="ja-JP" altLang="en-US" sz="1100">
            <a:latin typeface="ＭＳ ゴシック" panose="020B0609070205080204" pitchFamily="49" charset="-128"/>
            <a:ea typeface="ＭＳ ゴシック" panose="020B0609070205080204" pitchFamily="49" charset="-128"/>
          </a:endParaRPr>
        </a:p>
      </dgm:t>
    </dgm:pt>
    <dgm:pt modelId="{DE4DD1E5-6A41-4F85-B449-A2838738C27F}" type="pres">
      <dgm:prSet presAssocID="{05A8B102-3E69-4C4E-8C43-AEE7C78D4775}" presName="Name0" presStyleCnt="0">
        <dgm:presLayoutVars>
          <dgm:dir/>
          <dgm:animLvl val="lvl"/>
          <dgm:resizeHandles val="exact"/>
        </dgm:presLayoutVars>
      </dgm:prSet>
      <dgm:spPr/>
    </dgm:pt>
    <dgm:pt modelId="{8770E187-28A2-400E-B91C-95002F064F77}" type="pres">
      <dgm:prSet presAssocID="{93BB28A2-D56F-41FD-9AAA-136340AA4F07}" presName="Name8" presStyleCnt="0"/>
      <dgm:spPr/>
    </dgm:pt>
    <dgm:pt modelId="{F5CEABDC-CBC4-4E10-9965-491C8FD2E38F}" type="pres">
      <dgm:prSet presAssocID="{93BB28A2-D56F-41FD-9AAA-136340AA4F07}" presName="level" presStyleLbl="node1" presStyleIdx="0" presStyleCnt="4">
        <dgm:presLayoutVars>
          <dgm:chMax val="1"/>
          <dgm:bulletEnabled val="1"/>
        </dgm:presLayoutVars>
      </dgm:prSet>
      <dgm:spPr/>
      <dgm:t>
        <a:bodyPr/>
        <a:lstStyle/>
        <a:p>
          <a:endParaRPr kumimoji="1" lang="ja-JP" altLang="en-US"/>
        </a:p>
      </dgm:t>
    </dgm:pt>
    <dgm:pt modelId="{F572E5D8-1B1C-4C94-907E-6332A483AB9D}" type="pres">
      <dgm:prSet presAssocID="{93BB28A2-D56F-41FD-9AAA-136340AA4F07}" presName="levelTx" presStyleLbl="revTx" presStyleIdx="0" presStyleCnt="0">
        <dgm:presLayoutVars>
          <dgm:chMax val="1"/>
          <dgm:bulletEnabled val="1"/>
        </dgm:presLayoutVars>
      </dgm:prSet>
      <dgm:spPr/>
      <dgm:t>
        <a:bodyPr/>
        <a:lstStyle/>
        <a:p>
          <a:endParaRPr kumimoji="1" lang="ja-JP" altLang="en-US"/>
        </a:p>
      </dgm:t>
    </dgm:pt>
    <dgm:pt modelId="{77AEFE34-B60F-4F6D-9828-3D35729E56DA}" type="pres">
      <dgm:prSet presAssocID="{06BBEB82-C7D2-4392-993B-692AC20C1F5A}" presName="Name8" presStyleCnt="0"/>
      <dgm:spPr/>
    </dgm:pt>
    <dgm:pt modelId="{D015A9FB-2382-4435-A48D-EC47D85551FB}" type="pres">
      <dgm:prSet presAssocID="{06BBEB82-C7D2-4392-993B-692AC20C1F5A}" presName="level" presStyleLbl="node1" presStyleIdx="1" presStyleCnt="4">
        <dgm:presLayoutVars>
          <dgm:chMax val="1"/>
          <dgm:bulletEnabled val="1"/>
        </dgm:presLayoutVars>
      </dgm:prSet>
      <dgm:spPr/>
      <dgm:t>
        <a:bodyPr/>
        <a:lstStyle/>
        <a:p>
          <a:endParaRPr kumimoji="1" lang="ja-JP" altLang="en-US"/>
        </a:p>
      </dgm:t>
    </dgm:pt>
    <dgm:pt modelId="{A06DCFC0-A17B-4DC1-AE7A-6CE96DDD82C1}" type="pres">
      <dgm:prSet presAssocID="{06BBEB82-C7D2-4392-993B-692AC20C1F5A}" presName="levelTx" presStyleLbl="revTx" presStyleIdx="0" presStyleCnt="0">
        <dgm:presLayoutVars>
          <dgm:chMax val="1"/>
          <dgm:bulletEnabled val="1"/>
        </dgm:presLayoutVars>
      </dgm:prSet>
      <dgm:spPr/>
      <dgm:t>
        <a:bodyPr/>
        <a:lstStyle/>
        <a:p>
          <a:endParaRPr kumimoji="1" lang="ja-JP" altLang="en-US"/>
        </a:p>
      </dgm:t>
    </dgm:pt>
    <dgm:pt modelId="{D0861DD9-80DE-428F-8BE7-B42D9C95CEE3}" type="pres">
      <dgm:prSet presAssocID="{F7E30DB3-6D25-4BA9-BB4B-9F76ABAFF6B0}" presName="Name8" presStyleCnt="0"/>
      <dgm:spPr/>
    </dgm:pt>
    <dgm:pt modelId="{CC585212-00BF-46B4-807B-C6C38DC76618}" type="pres">
      <dgm:prSet presAssocID="{F7E30DB3-6D25-4BA9-BB4B-9F76ABAFF6B0}" presName="level" presStyleLbl="node1" presStyleIdx="2" presStyleCnt="4">
        <dgm:presLayoutVars>
          <dgm:chMax val="1"/>
          <dgm:bulletEnabled val="1"/>
        </dgm:presLayoutVars>
      </dgm:prSet>
      <dgm:spPr/>
      <dgm:t>
        <a:bodyPr/>
        <a:lstStyle/>
        <a:p>
          <a:endParaRPr kumimoji="1" lang="ja-JP" altLang="en-US"/>
        </a:p>
      </dgm:t>
    </dgm:pt>
    <dgm:pt modelId="{8D11E9D7-ACCD-4E45-93E3-97C530D406AA}" type="pres">
      <dgm:prSet presAssocID="{F7E30DB3-6D25-4BA9-BB4B-9F76ABAFF6B0}" presName="levelTx" presStyleLbl="revTx" presStyleIdx="0" presStyleCnt="0">
        <dgm:presLayoutVars>
          <dgm:chMax val="1"/>
          <dgm:bulletEnabled val="1"/>
        </dgm:presLayoutVars>
      </dgm:prSet>
      <dgm:spPr/>
      <dgm:t>
        <a:bodyPr/>
        <a:lstStyle/>
        <a:p>
          <a:endParaRPr kumimoji="1" lang="ja-JP" altLang="en-US"/>
        </a:p>
      </dgm:t>
    </dgm:pt>
    <dgm:pt modelId="{79A50E68-B526-4926-BC9E-AC91A4489EC0}" type="pres">
      <dgm:prSet presAssocID="{CD426F8A-72F8-4606-B2BD-B77675875D71}" presName="Name8" presStyleCnt="0"/>
      <dgm:spPr/>
    </dgm:pt>
    <dgm:pt modelId="{897E28FF-5FDF-44EE-83B2-29735142E928}" type="pres">
      <dgm:prSet presAssocID="{CD426F8A-72F8-4606-B2BD-B77675875D71}" presName="level" presStyleLbl="node1" presStyleIdx="3" presStyleCnt="4">
        <dgm:presLayoutVars>
          <dgm:chMax val="1"/>
          <dgm:bulletEnabled val="1"/>
        </dgm:presLayoutVars>
      </dgm:prSet>
      <dgm:spPr/>
      <dgm:t>
        <a:bodyPr/>
        <a:lstStyle/>
        <a:p>
          <a:endParaRPr kumimoji="1" lang="ja-JP" altLang="en-US"/>
        </a:p>
      </dgm:t>
    </dgm:pt>
    <dgm:pt modelId="{5850A4AF-63F8-45F4-B72D-73C78BA9EBB2}" type="pres">
      <dgm:prSet presAssocID="{CD426F8A-72F8-4606-B2BD-B77675875D71}" presName="levelTx" presStyleLbl="revTx" presStyleIdx="0" presStyleCnt="0">
        <dgm:presLayoutVars>
          <dgm:chMax val="1"/>
          <dgm:bulletEnabled val="1"/>
        </dgm:presLayoutVars>
      </dgm:prSet>
      <dgm:spPr/>
      <dgm:t>
        <a:bodyPr/>
        <a:lstStyle/>
        <a:p>
          <a:endParaRPr kumimoji="1" lang="ja-JP" altLang="en-US"/>
        </a:p>
      </dgm:t>
    </dgm:pt>
  </dgm:ptLst>
  <dgm:cxnLst>
    <dgm:cxn modelId="{8FF9928C-064E-402D-81C4-F7D722622CE2}" srcId="{05A8B102-3E69-4C4E-8C43-AEE7C78D4775}" destId="{CD426F8A-72F8-4606-B2BD-B77675875D71}" srcOrd="3" destOrd="0" parTransId="{D74A6D33-3E9D-431C-B63C-D76D8F43D31D}" sibTransId="{59A393ED-4F30-41D3-828C-E929F1BAF528}"/>
    <dgm:cxn modelId="{B9743302-FA12-405F-9EB0-0E7AC1FF038A}" type="presOf" srcId="{06BBEB82-C7D2-4392-993B-692AC20C1F5A}" destId="{A06DCFC0-A17B-4DC1-AE7A-6CE96DDD82C1}" srcOrd="1" destOrd="0" presId="urn:microsoft.com/office/officeart/2005/8/layout/pyramid1"/>
    <dgm:cxn modelId="{298A3E4E-F27E-45AF-B6A3-7C956578C20A}" type="presOf" srcId="{CD426F8A-72F8-4606-B2BD-B77675875D71}" destId="{5850A4AF-63F8-45F4-B72D-73C78BA9EBB2}" srcOrd="1" destOrd="0" presId="urn:microsoft.com/office/officeart/2005/8/layout/pyramid1"/>
    <dgm:cxn modelId="{94D165D7-0A3A-40F7-8577-BDC8B5D658EC}" type="presOf" srcId="{93BB28A2-D56F-41FD-9AAA-136340AA4F07}" destId="{F572E5D8-1B1C-4C94-907E-6332A483AB9D}" srcOrd="1" destOrd="0" presId="urn:microsoft.com/office/officeart/2005/8/layout/pyramid1"/>
    <dgm:cxn modelId="{6FEC95A9-795B-4B88-B2B0-36B551CF3C5C}" srcId="{05A8B102-3E69-4C4E-8C43-AEE7C78D4775}" destId="{93BB28A2-D56F-41FD-9AAA-136340AA4F07}" srcOrd="0" destOrd="0" parTransId="{B17A0D9A-FF55-4712-B794-FEB413ADF38D}" sibTransId="{65DC851B-CB67-4E81-AAC5-5C92A03CB600}"/>
    <dgm:cxn modelId="{5ECCB968-0050-486D-B1E3-D9659B96EAB4}" type="presOf" srcId="{93BB28A2-D56F-41FD-9AAA-136340AA4F07}" destId="{F5CEABDC-CBC4-4E10-9965-491C8FD2E38F}" srcOrd="0" destOrd="0" presId="urn:microsoft.com/office/officeart/2005/8/layout/pyramid1"/>
    <dgm:cxn modelId="{0428C0E5-852D-4F2F-BC7C-D9945CED8E0A}" srcId="{05A8B102-3E69-4C4E-8C43-AEE7C78D4775}" destId="{06BBEB82-C7D2-4392-993B-692AC20C1F5A}" srcOrd="1" destOrd="0" parTransId="{2EEC3043-8A8B-4EE6-847F-AC746792403C}" sibTransId="{4C8ED6D4-12D9-48EF-806E-6EDB015A0937}"/>
    <dgm:cxn modelId="{FA2B773E-8DCE-4C35-A9A5-AC2E5F1ABCDA}" type="presOf" srcId="{CD426F8A-72F8-4606-B2BD-B77675875D71}" destId="{897E28FF-5FDF-44EE-83B2-29735142E928}" srcOrd="0" destOrd="0" presId="urn:microsoft.com/office/officeart/2005/8/layout/pyramid1"/>
    <dgm:cxn modelId="{D91B912C-C2E2-444A-B2F4-ED540CEDF4CB}" srcId="{05A8B102-3E69-4C4E-8C43-AEE7C78D4775}" destId="{F7E30DB3-6D25-4BA9-BB4B-9F76ABAFF6B0}" srcOrd="2" destOrd="0" parTransId="{EB5510A7-0C16-4818-9773-753FC3BF99BA}" sibTransId="{25E1CDD5-C802-4E12-88EA-B9352522D3C5}"/>
    <dgm:cxn modelId="{C56D05E0-D739-4F33-98E3-385866CCAED7}" type="presOf" srcId="{F7E30DB3-6D25-4BA9-BB4B-9F76ABAFF6B0}" destId="{8D11E9D7-ACCD-4E45-93E3-97C530D406AA}" srcOrd="1" destOrd="0" presId="urn:microsoft.com/office/officeart/2005/8/layout/pyramid1"/>
    <dgm:cxn modelId="{5774A6D0-A121-45BA-B26B-21E730832E1D}" type="presOf" srcId="{05A8B102-3E69-4C4E-8C43-AEE7C78D4775}" destId="{DE4DD1E5-6A41-4F85-B449-A2838738C27F}" srcOrd="0" destOrd="0" presId="urn:microsoft.com/office/officeart/2005/8/layout/pyramid1"/>
    <dgm:cxn modelId="{804EDA13-98B6-4B91-A570-2AE3706FDBA4}" type="presOf" srcId="{F7E30DB3-6D25-4BA9-BB4B-9F76ABAFF6B0}" destId="{CC585212-00BF-46B4-807B-C6C38DC76618}" srcOrd="0" destOrd="0" presId="urn:microsoft.com/office/officeart/2005/8/layout/pyramid1"/>
    <dgm:cxn modelId="{C51A7B4C-E318-42AC-B5B4-896C3D878CD5}" type="presOf" srcId="{06BBEB82-C7D2-4392-993B-692AC20C1F5A}" destId="{D015A9FB-2382-4435-A48D-EC47D85551FB}" srcOrd="0" destOrd="0" presId="urn:microsoft.com/office/officeart/2005/8/layout/pyramid1"/>
    <dgm:cxn modelId="{58674C4C-977F-4C72-A3E7-5E3C70F31B91}" type="presParOf" srcId="{DE4DD1E5-6A41-4F85-B449-A2838738C27F}" destId="{8770E187-28A2-400E-B91C-95002F064F77}" srcOrd="0" destOrd="0" presId="urn:microsoft.com/office/officeart/2005/8/layout/pyramid1"/>
    <dgm:cxn modelId="{BBDECA78-7F6F-4861-8B48-BACE08814795}" type="presParOf" srcId="{8770E187-28A2-400E-B91C-95002F064F77}" destId="{F5CEABDC-CBC4-4E10-9965-491C8FD2E38F}" srcOrd="0" destOrd="0" presId="urn:microsoft.com/office/officeart/2005/8/layout/pyramid1"/>
    <dgm:cxn modelId="{9C61E075-CAB9-48F4-A7B4-18D9C42AE7BD}" type="presParOf" srcId="{8770E187-28A2-400E-B91C-95002F064F77}" destId="{F572E5D8-1B1C-4C94-907E-6332A483AB9D}" srcOrd="1" destOrd="0" presId="urn:microsoft.com/office/officeart/2005/8/layout/pyramid1"/>
    <dgm:cxn modelId="{E6A5151B-AEE0-45BD-900C-C103D664A629}" type="presParOf" srcId="{DE4DD1E5-6A41-4F85-B449-A2838738C27F}" destId="{77AEFE34-B60F-4F6D-9828-3D35729E56DA}" srcOrd="1" destOrd="0" presId="urn:microsoft.com/office/officeart/2005/8/layout/pyramid1"/>
    <dgm:cxn modelId="{F23B9106-CF89-4AF7-A386-F4A21B65822A}" type="presParOf" srcId="{77AEFE34-B60F-4F6D-9828-3D35729E56DA}" destId="{D015A9FB-2382-4435-A48D-EC47D85551FB}" srcOrd="0" destOrd="0" presId="urn:microsoft.com/office/officeart/2005/8/layout/pyramid1"/>
    <dgm:cxn modelId="{FA0260C2-36A1-40ED-8259-7EC34C088C6A}" type="presParOf" srcId="{77AEFE34-B60F-4F6D-9828-3D35729E56DA}" destId="{A06DCFC0-A17B-4DC1-AE7A-6CE96DDD82C1}" srcOrd="1" destOrd="0" presId="urn:microsoft.com/office/officeart/2005/8/layout/pyramid1"/>
    <dgm:cxn modelId="{DB2852D7-C703-47A6-B031-A0EE44C8AF31}" type="presParOf" srcId="{DE4DD1E5-6A41-4F85-B449-A2838738C27F}" destId="{D0861DD9-80DE-428F-8BE7-B42D9C95CEE3}" srcOrd="2" destOrd="0" presId="urn:microsoft.com/office/officeart/2005/8/layout/pyramid1"/>
    <dgm:cxn modelId="{E6AE36F8-40B8-4D7A-932F-062C1F3C6D67}" type="presParOf" srcId="{D0861DD9-80DE-428F-8BE7-B42D9C95CEE3}" destId="{CC585212-00BF-46B4-807B-C6C38DC76618}" srcOrd="0" destOrd="0" presId="urn:microsoft.com/office/officeart/2005/8/layout/pyramid1"/>
    <dgm:cxn modelId="{D73162AE-CE49-4D2F-ACCE-FF2AFDBAAAE1}" type="presParOf" srcId="{D0861DD9-80DE-428F-8BE7-B42D9C95CEE3}" destId="{8D11E9D7-ACCD-4E45-93E3-97C530D406AA}" srcOrd="1" destOrd="0" presId="urn:microsoft.com/office/officeart/2005/8/layout/pyramid1"/>
    <dgm:cxn modelId="{C29BCE5F-8C1B-4799-87BD-3B687E69CD1C}" type="presParOf" srcId="{DE4DD1E5-6A41-4F85-B449-A2838738C27F}" destId="{79A50E68-B526-4926-BC9E-AC91A4489EC0}" srcOrd="3" destOrd="0" presId="urn:microsoft.com/office/officeart/2005/8/layout/pyramid1"/>
    <dgm:cxn modelId="{CF7013D3-3AB7-47FB-90E7-2E11E8C7A7DF}" type="presParOf" srcId="{79A50E68-B526-4926-BC9E-AC91A4489EC0}" destId="{897E28FF-5FDF-44EE-83B2-29735142E928}" srcOrd="0" destOrd="0" presId="urn:microsoft.com/office/officeart/2005/8/layout/pyramid1"/>
    <dgm:cxn modelId="{2AEA2B98-F1CF-4B0D-ABB2-3588542EEC63}" type="presParOf" srcId="{79A50E68-B526-4926-BC9E-AC91A4489EC0}" destId="{5850A4AF-63F8-45F4-B72D-73C78BA9EBB2}" srcOrd="1" destOrd="0" presId="urn:microsoft.com/office/officeart/2005/8/layout/pyramid1"/>
  </dgm:cxnLst>
  <dgm:bg/>
  <dgm:whole>
    <a:ln>
      <a:no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CEABDC-CBC4-4E10-9965-491C8FD2E38F}">
      <dsp:nvSpPr>
        <dsp:cNvPr id="0" name=""/>
        <dsp:cNvSpPr/>
      </dsp:nvSpPr>
      <dsp:spPr>
        <a:xfrm>
          <a:off x="890587" y="0"/>
          <a:ext cx="593725" cy="320040"/>
        </a:xfrm>
        <a:prstGeom prst="trapezoid">
          <a:avLst>
            <a:gd name="adj" fmla="val 92758"/>
          </a:avLst>
        </a:prstGeom>
        <a:solidFill>
          <a:schemeClr val="accent1">
            <a:lumMod val="20000"/>
            <a:lumOff val="8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anose="020B0609070205080204" pitchFamily="49" charset="-128"/>
              <a:ea typeface="ＭＳ ゴシック" panose="020B0609070205080204" pitchFamily="49" charset="-128"/>
            </a:rPr>
            <a:t>経営理念</a:t>
          </a:r>
        </a:p>
      </dsp:txBody>
      <dsp:txXfrm>
        <a:off x="890587" y="0"/>
        <a:ext cx="593725" cy="320040"/>
      </dsp:txXfrm>
    </dsp:sp>
    <dsp:sp modelId="{D015A9FB-2382-4435-A48D-EC47D85551FB}">
      <dsp:nvSpPr>
        <dsp:cNvPr id="0" name=""/>
        <dsp:cNvSpPr/>
      </dsp:nvSpPr>
      <dsp:spPr>
        <a:xfrm>
          <a:off x="593725" y="320040"/>
          <a:ext cx="1187450" cy="320040"/>
        </a:xfrm>
        <a:prstGeom prst="trapezoid">
          <a:avLst>
            <a:gd name="adj" fmla="val 92758"/>
          </a:avLst>
        </a:prstGeom>
        <a:solidFill>
          <a:schemeClr val="accent1">
            <a:lumMod val="20000"/>
            <a:lumOff val="8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anose="020B0609070205080204" pitchFamily="49" charset="-128"/>
              <a:ea typeface="ＭＳ ゴシック" panose="020B0609070205080204" pitchFamily="49" charset="-128"/>
            </a:rPr>
            <a:t>基本方針</a:t>
          </a:r>
        </a:p>
      </dsp:txBody>
      <dsp:txXfrm>
        <a:off x="801528" y="320040"/>
        <a:ext cx="771842" cy="320040"/>
      </dsp:txXfrm>
    </dsp:sp>
    <dsp:sp modelId="{CC585212-00BF-46B4-807B-C6C38DC76618}">
      <dsp:nvSpPr>
        <dsp:cNvPr id="0" name=""/>
        <dsp:cNvSpPr/>
      </dsp:nvSpPr>
      <dsp:spPr>
        <a:xfrm>
          <a:off x="296862" y="640080"/>
          <a:ext cx="1781175" cy="320040"/>
        </a:xfrm>
        <a:prstGeom prst="trapezoid">
          <a:avLst>
            <a:gd name="adj" fmla="val 92758"/>
          </a:avLst>
        </a:prstGeom>
        <a:solidFill>
          <a:schemeClr val="accent1">
            <a:lumMod val="20000"/>
            <a:lumOff val="8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anose="020B0609070205080204" pitchFamily="49" charset="-128"/>
              <a:ea typeface="ＭＳ ゴシック" panose="020B0609070205080204" pitchFamily="49" charset="-128"/>
            </a:rPr>
            <a:t>施策</a:t>
          </a:r>
        </a:p>
      </dsp:txBody>
      <dsp:txXfrm>
        <a:off x="608568" y="640080"/>
        <a:ext cx="1157763" cy="320040"/>
      </dsp:txXfrm>
    </dsp:sp>
    <dsp:sp modelId="{897E28FF-5FDF-44EE-83B2-29735142E928}">
      <dsp:nvSpPr>
        <dsp:cNvPr id="0" name=""/>
        <dsp:cNvSpPr/>
      </dsp:nvSpPr>
      <dsp:spPr>
        <a:xfrm>
          <a:off x="0" y="960120"/>
          <a:ext cx="2374900" cy="320040"/>
        </a:xfrm>
        <a:prstGeom prst="trapezoid">
          <a:avLst>
            <a:gd name="adj" fmla="val 92758"/>
          </a:avLst>
        </a:prstGeom>
        <a:solidFill>
          <a:schemeClr val="accent1">
            <a:lumMod val="20000"/>
            <a:lumOff val="8000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kumimoji="1" lang="ja-JP" altLang="en-US" sz="1100" kern="1200">
              <a:latin typeface="ＭＳ ゴシック" panose="020B0609070205080204" pitchFamily="49" charset="-128"/>
              <a:ea typeface="ＭＳ ゴシック" panose="020B0609070205080204" pitchFamily="49" charset="-128"/>
            </a:rPr>
            <a:t>具体的施策</a:t>
          </a:r>
        </a:p>
      </dsp:txBody>
      <dsp:txXfrm>
        <a:off x="415607" y="960120"/>
        <a:ext cx="1543685" cy="32004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249</Words>
  <Characters>1424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柏市</Company>
  <LinksUpToDate>false</LinksUpToDate>
  <CharactersWithSpaces>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下水道経営課2</dc:creator>
  <cp:keywords/>
  <dc:description/>
  <cp:lastModifiedBy>下水道経営課17</cp:lastModifiedBy>
  <cp:revision>4</cp:revision>
  <cp:lastPrinted>2019-05-12T23:39:00Z</cp:lastPrinted>
  <dcterms:created xsi:type="dcterms:W3CDTF">2019-05-12T23:37:00Z</dcterms:created>
  <dcterms:modified xsi:type="dcterms:W3CDTF">2019-06-24T00:49:00Z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370534499</vt:i4>
  </property>
</Properties>
</file>