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ＭＳ ゴシック" w:hAnsi="ＭＳ ゴシック" w:eastAsia="ＭＳ ゴシック" w:cs="ＭＳ ゴシック"/>
          <w:b/>
          <w:bCs/>
          <w:color w:val="FF0000"/>
          <w:sz w:val="28"/>
          <w:szCs w:val="28"/>
        </w:rPr>
      </w:pPr>
      <w:r>
        <w:rPr>
          <w:rFonts w:ascii="游明朝" w:hAnsi="游明朝" w:eastAsia="游明朝" w:cs="Times New Roman"/>
          <w:kern w:val="2"/>
          <w:sz w:val="24"/>
          <w:szCs w:val="22"/>
          <w:lang w:val="en-US" w:eastAsia="ja-JP" w:bidi="ar-SA"/>
        </w:rPr>
        <w:pict>
          <v:rect id="四角形 5" o:spid="_x0000_s1026" style="position:absolute;left:0;margin-left:426.95pt;margin-top:-44.45pt;height:43.3pt;width:64.2pt;rotation:0f;z-index:251658240;" o:ole="f" fillcolor="#9CBEE0" filled="f" o:preferrelative="t" stroked="t" coordsize="21600,21600">
            <v:fill on="f" color2="#BBD5F0" o:opacity2="100%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3.60pt,7.20pt,3.60pt">
              <w:txbxContent>
                <w:p>
                  <w:pPr>
                    <w:rPr>
                      <w:rFonts w:hint="eastAsia" w:ascii="ＭＳ ゴシック" w:hAnsi="ＭＳ ゴシック" w:eastAsia="ＭＳ ゴシック" w:cs="ＭＳ ゴシック"/>
                      <w:b/>
                      <w:bCs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hint="eastAsia" w:ascii="ＭＳ ゴシック" w:hAnsi="ＭＳ ゴシック" w:eastAsia="ＭＳ ゴシック" w:cs="ＭＳ ゴシック"/>
                      <w:b/>
                      <w:bCs/>
                      <w:sz w:val="28"/>
                      <w:szCs w:val="28"/>
                      <w:lang w:eastAsia="ja-JP"/>
                    </w:rPr>
                    <w:t>資料２</w:t>
                  </w:r>
                </w:p>
              </w:txbxContent>
            </v:textbox>
          </v:rect>
        </w:pict>
      </w:r>
      <w:r>
        <w:rPr>
          <w:rFonts w:hint="eastAsia"/>
          <w:sz w:val="24"/>
        </w:rPr>
        <w:t>地域自殺実態プロファイル【</w:t>
      </w:r>
      <w:r>
        <w:rPr>
          <w:sz w:val="24"/>
        </w:rPr>
        <w:t>2017】</w:t>
      </w:r>
      <w:r>
        <w:rPr>
          <w:rFonts w:hint="eastAsia" w:ascii="ＭＳ ゴシック" w:hAnsi="ＭＳ ゴシック" w:eastAsia="ＭＳ ゴシック" w:cs="ＭＳ ゴシック"/>
          <w:b/>
          <w:bCs/>
          <w:color w:val="FF0000"/>
          <w:sz w:val="28"/>
          <w:szCs w:val="28"/>
          <w:lang w:eastAsia="ja-JP"/>
        </w:rPr>
        <w:t>（抜粋版）</w:t>
      </w:r>
    </w:p>
    <w:p>
      <w:pPr>
        <w:jc w:val="center"/>
      </w:pPr>
      <w:r>
        <w:rPr>
          <w:rFonts w:hint="eastAsia"/>
          <w:sz w:val="24"/>
        </w:rPr>
        <w:t>【千葉県柏市】</w:t>
      </w:r>
    </w:p>
    <w:p>
      <w:bookmarkStart w:id="1" w:name="_GoBack"/>
      <w:bookmarkEnd w:id="1"/>
    </w:p>
    <w:p>
      <w:pPr>
        <w:jc w:val="center"/>
      </w:pPr>
      <w:r>
        <w:rPr>
          <w:rFonts w:hint="eastAsia"/>
        </w:rPr>
        <w:t>推奨される重点パッケージ</w:t>
      </w:r>
    </w:p>
    <w:tbl>
      <w:tblPr>
        <w:tblStyle w:val="12"/>
        <w:tblW w:w="4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重点パッケージ</w:t>
            </w:r>
          </w:p>
        </w:tc>
        <w:tc>
          <w:tcPr>
            <w:tcW w:w="2739" w:type="dxa"/>
            <w:vAlign w:val="top"/>
          </w:tcPr>
          <w:p>
            <w:p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高齢者</w:t>
            </w:r>
          </w:p>
          <w:p>
            <w:p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生活困窮者</w:t>
            </w:r>
          </w:p>
          <w:p>
            <w:p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勤務・経営</w:t>
            </w:r>
          </w:p>
          <w:p>
            <w:p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子ども・若者</w:t>
            </w:r>
          </w:p>
        </w:tc>
      </w:tr>
    </w:tbl>
    <w:p>
      <w:pPr>
        <w:spacing w:line="220" w:lineRule="exact"/>
        <w:rPr>
          <w:rFonts w:hint="eastAsia"/>
        </w:rPr>
      </w:pPr>
    </w:p>
    <w:p>
      <w:pPr>
        <w:spacing w:line="240" w:lineRule="exact"/>
      </w:pPr>
    </w:p>
    <w:p>
      <w:pPr>
        <w:spacing w:line="220" w:lineRule="exact"/>
        <w:rPr>
          <w:rFonts w:hint="eastAsia"/>
        </w:rPr>
      </w:pPr>
      <w:r>
        <w:rPr>
          <w:rFonts w:hint="eastAsia"/>
        </w:rPr>
        <w:t>「推奨パッケージ」は下記の「地域の自殺の特徴」の上位の３区分の性・年代等の特性と「背景にある主な自殺の危機経路」を参考に選定している。（「主な自殺の危機経路」は、</w:t>
      </w:r>
      <w:r>
        <w:t>自殺実態白書2013</w:t>
      </w:r>
      <w:r>
        <w:rPr>
          <w:rFonts w:hint="eastAsia"/>
        </w:rPr>
        <w:t>に基づき、あくまでも、該当する性・年代等の特性に応じ、全国的に見て代表的と考えられる「自殺の危機経路」を示すものであり、提示された経路が唯一のものではない。）</w:t>
      </w:r>
    </w:p>
    <w:p>
      <w:pPr>
        <w:spacing w:line="220" w:lineRule="exact"/>
        <w:rPr>
          <w:rFonts w:hint="eastAsia"/>
        </w:rPr>
      </w:pPr>
    </w:p>
    <w:p>
      <w:pPr>
        <w:spacing w:line="220" w:lineRule="exact"/>
      </w:pPr>
      <w:r>
        <w:rPr>
          <w:rFonts w:hint="eastAsia"/>
        </w:rPr>
        <w:t>　自らの自治体で実施すべき具体的な施策については、推奨パッケージをまず目安として確認いただき、その上で次頁の「地域の自殺の特性の評価」（人口</w:t>
      </w:r>
      <w:r>
        <w:t>10万あたりの自殺率</w:t>
      </w:r>
      <w:r>
        <w:rPr>
          <w:rFonts w:hint="eastAsia"/>
        </w:rPr>
        <w:t>等</w:t>
      </w:r>
      <w:r>
        <w:t>の全国の中での相対的な指標値をもとに評価している）</w:t>
      </w:r>
      <w:r>
        <w:rPr>
          <w:rFonts w:hint="eastAsia"/>
        </w:rPr>
        <w:t>等</w:t>
      </w:r>
      <w:r>
        <w:t>、地域自殺実態プロファイルの他の詳細データ</w:t>
      </w:r>
      <w:r>
        <w:rPr>
          <w:rFonts w:hint="eastAsia"/>
        </w:rPr>
        <w:t>等</w:t>
      </w:r>
      <w:r>
        <w:t>を</w:t>
      </w:r>
      <w:r>
        <w:rPr>
          <w:rFonts w:hint="eastAsia"/>
        </w:rPr>
        <w:t>勘案して検討</w:t>
      </w:r>
      <w:r>
        <w:t>いただきたい。</w:t>
      </w:r>
    </w:p>
    <w:p>
      <w:pPr>
        <w:spacing w:line="220" w:lineRule="exact"/>
        <w:rPr>
          <w:rFonts w:hint="eastAsia"/>
        </w:rPr>
      </w:pPr>
    </w:p>
    <w:p>
      <w:pPr>
        <w:spacing w:line="220" w:lineRule="exact"/>
        <w:rPr>
          <w:rFonts w:hint="eastAsia"/>
        </w:rPr>
      </w:pPr>
    </w:p>
    <w:p>
      <w:pPr>
        <w:pStyle w:val="2"/>
      </w:pPr>
      <w:r>
        <w:rPr>
          <w:rFonts w:hint="eastAsia"/>
        </w:rPr>
        <w:t>■地域の自殺の特徴</w:t>
      </w:r>
    </w:p>
    <w:p>
      <w:pPr>
        <w:spacing w:line="240" w:lineRule="exact"/>
        <w:rPr>
          <w:rFonts w:hint="eastAsia"/>
        </w:rPr>
      </w:pPr>
      <w:r>
        <w:rPr>
          <w:rFonts w:hint="eastAsia"/>
        </w:rPr>
        <w:t>・千葉県柏市の自殺者数はH24～28合計</w:t>
      </w:r>
      <w:r>
        <w:t xml:space="preserve"> 342 </w:t>
      </w:r>
      <w:r>
        <w:rPr>
          <w:rFonts w:hint="eastAsia"/>
        </w:rPr>
        <w:t>人（男性</w:t>
      </w:r>
      <w:r>
        <w:t xml:space="preserve"> 229 </w:t>
      </w:r>
      <w:r>
        <w:rPr>
          <w:rFonts w:hint="eastAsia"/>
        </w:rPr>
        <w:t>人、女性</w:t>
      </w:r>
      <w:r>
        <w:t xml:space="preserve"> 113 </w:t>
      </w:r>
      <w:r>
        <w:rPr>
          <w:rFonts w:hint="eastAsia"/>
        </w:rPr>
        <w:t>人）</w:t>
      </w:r>
    </w:p>
    <w:p>
      <w:pPr>
        <w:spacing w:line="240" w:lineRule="exact"/>
      </w:pPr>
      <w:r>
        <w:rPr>
          <w:rFonts w:hint="eastAsia"/>
          <w:lang w:eastAsia="ja-JP"/>
        </w:rPr>
        <w:t>　</w:t>
      </w:r>
      <w:r>
        <w:rPr>
          <w:rFonts w:hint="eastAsia"/>
        </w:rPr>
        <w:t>（自殺統計（自殺日・住居地））</w:t>
      </w:r>
    </w:p>
    <w:p>
      <w:pPr>
        <w:spacing w:line="240" w:lineRule="exact"/>
      </w:pPr>
    </w:p>
    <w:p>
      <w:pPr>
        <w:rPr>
          <w:rFonts w:ascii="游ゴシック Light" w:hAnsi="游ゴシック Light" w:eastAsia="游ゴシック Light"/>
        </w:rPr>
      </w:pPr>
      <w:r>
        <w:rPr>
          <w:rFonts w:hint="eastAsia" w:ascii="游ゴシック Light" w:hAnsi="游ゴシック Light" w:eastAsia="游ゴシック Light"/>
          <w:u w:val="single"/>
        </w:rPr>
        <w:t>地域の主な自殺の特徴</w:t>
      </w:r>
      <w:r>
        <w:rPr>
          <w:rFonts w:hint="eastAsia" w:ascii="游ゴシック Light" w:hAnsi="游ゴシック Light" w:eastAsia="游ゴシック Light"/>
        </w:rPr>
        <w:t>（特別集計（自殺日・住居地、H24～28合計）、</w:t>
      </w:r>
      <w:r>
        <w:rPr>
          <w:rFonts w:hint="eastAsia" w:ascii="游ゴシック Light" w:hAnsi="游ゴシック Light" w:eastAsia="游ゴシック Light"/>
          <w:u w:val="single"/>
        </w:rPr>
        <w:t>公表可能</w:t>
      </w:r>
      <w:r>
        <w:rPr>
          <w:rFonts w:hint="eastAsia" w:ascii="游ゴシック Light" w:hAnsi="游ゴシック Light" w:eastAsia="游ゴシック Light"/>
        </w:rPr>
        <w:t>）</w:t>
      </w:r>
    </w:p>
    <w:tbl>
      <w:tblPr>
        <w:tblStyle w:val="11"/>
        <w:tblW w:w="8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620"/>
        <w:gridCol w:w="1080"/>
        <w:gridCol w:w="820"/>
        <w:gridCol w:w="1140"/>
        <w:gridCol w:w="3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上位５区分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自殺者数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br/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5年計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割合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自殺率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br/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(10万対)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背景にある主な自殺の危機経路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1位:男性60歳以上無職同居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9.9%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失業（退職）→生活苦＋介護の悩み（疲れ）＋身体疾患→自殺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2位:男性40～59歳有職同居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配置転換→過労→職場の人間関係の悩み＋仕事の失敗→うつ状態→自殺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3位:男性20～39歳有職同居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7.6%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職場の人間関係／仕事の悩み(ブラック企業)→パワハラ＋過労→うつ状態→自殺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24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4位:女性60歳以上無職同居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7.6%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身体疾患→病苦→うつ状態→自殺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5位:女性40～59歳無職同居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7.3%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近隣関係の悩み＋家族間の不和→うつ病→自殺</w:t>
            </w:r>
          </w:p>
        </w:tc>
      </w:tr>
    </w:tbl>
    <w:p>
      <w:pPr>
        <w:widowControl/>
        <w:spacing w:line="240" w:lineRule="exact"/>
        <w:jc w:val="left"/>
      </w:pPr>
    </w:p>
    <w:p>
      <w:pPr>
        <w:widowControl/>
        <w:spacing w:line="240" w:lineRule="exact"/>
        <w:jc w:val="left"/>
        <w:rPr>
          <w:rFonts w:hint="eastAsia"/>
        </w:rPr>
      </w:pPr>
      <w:r>
        <w:rPr>
          <w:rFonts w:hint="eastAsia"/>
          <w:color w:val="auto"/>
          <w:u w:val="single" w:color="auto"/>
        </w:rPr>
        <w:t>順位は自殺者数の多さにもとづき、</w:t>
      </w:r>
      <w:r>
        <w:rPr>
          <w:rFonts w:hint="eastAsia"/>
          <w:u w:val="single" w:color="auto"/>
        </w:rPr>
        <w:t>自殺者数が同数の場合は自殺率の高い順</w:t>
      </w:r>
      <w:r>
        <w:rPr>
          <w:rFonts w:hint="eastAsia"/>
        </w:rPr>
        <w:t>とした。</w:t>
      </w:r>
    </w:p>
    <w:p>
      <w:pPr>
        <w:widowControl/>
        <w:spacing w:line="240" w:lineRule="exact"/>
        <w:jc w:val="left"/>
        <w:rPr>
          <w:rFonts w:hint="eastAsia"/>
        </w:rPr>
      </w:pPr>
    </w:p>
    <w:p>
      <w:pPr>
        <w:widowControl/>
        <w:spacing w:line="240" w:lineRule="exact"/>
        <w:jc w:val="left"/>
        <w:rPr>
          <w:rFonts w:hint="eastAsia"/>
        </w:rPr>
      </w:pPr>
      <w:r>
        <w:rPr>
          <w:rFonts w:hint="eastAsia"/>
        </w:rPr>
        <w:t>*自殺率の母数（人口）は平成27年国勢調査を元に自殺総合対策推進センターにて推計した。</w:t>
      </w:r>
    </w:p>
    <w:p>
      <w:pPr>
        <w:widowControl/>
        <w:spacing w:line="240" w:lineRule="exact"/>
        <w:jc w:val="left"/>
        <w:rPr>
          <w:rFonts w:hint="eastAsia"/>
        </w:rPr>
      </w:pPr>
    </w:p>
    <w:p>
      <w:pPr>
        <w:widowControl/>
        <w:spacing w:line="240" w:lineRule="exact"/>
        <w:jc w:val="left"/>
      </w:pPr>
      <w:r>
        <w:rPr>
          <w:rFonts w:hint="eastAsia"/>
        </w:rPr>
        <w:t>**「背景にある主な自殺の危機経路」は</w:t>
      </w:r>
      <w:r>
        <w:t>自殺実態白書2013（ライフリンク）</w:t>
      </w:r>
      <w:r>
        <w:rPr>
          <w:rFonts w:hint="eastAsia"/>
        </w:rPr>
        <w:t>を参考にした。</w:t>
      </w:r>
    </w:p>
    <w:p>
      <w:pPr>
        <w:widowControl/>
        <w:spacing w:line="240" w:lineRule="exact"/>
        <w:jc w:val="left"/>
      </w:pPr>
      <w:r>
        <w:br w:type="page"/>
      </w:r>
    </w:p>
    <w:p>
      <w:pPr>
        <w:pStyle w:val="3"/>
      </w:pPr>
      <w:r>
        <w:rPr>
          <w:rFonts w:hint="eastAsia"/>
          <w:u w:val="single"/>
        </w:rPr>
        <w:t>地域の自殺の概要</w:t>
      </w:r>
      <w:r>
        <w:rPr>
          <w:rFonts w:hint="eastAsia"/>
        </w:rPr>
        <w:t>（グラフ）（特別集計（自殺日・住居地、H24～28合計）、</w:t>
      </w:r>
      <w:r>
        <w:rPr>
          <w:rFonts w:hint="eastAsia"/>
          <w:u w:val="single"/>
        </w:rPr>
        <w:t>公表可能</w:t>
      </w:r>
      <w:r>
        <w:rPr>
          <w:rFonts w:hint="eastAsia"/>
        </w:rPr>
        <w:t>）</w:t>
      </w:r>
    </w:p>
    <w:p>
      <w:pPr>
        <w:jc w:val="left"/>
      </w:pPr>
      <w:r>
        <w:rPr>
          <w:rFonts w:ascii="游明朝" w:hAnsi="游明朝" w:eastAsia="游明朝" w:cs="Times New Roman"/>
          <w:kern w:val="2"/>
          <w:sz w:val="21"/>
          <w:szCs w:val="22"/>
          <w:lang w:val="en-US" w:eastAsia="ja-JP" w:bidi="ar-SA"/>
        </w:rPr>
        <w:pict>
          <v:shape id="図 2" o:spid="_x0000_s1027" type="#_x0000_t75" style="height:180pt;width:443.3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/>
    <w:p>
      <w:pPr>
        <w:pStyle w:val="2"/>
      </w:pPr>
      <w:r>
        <w:rPr>
          <w:rFonts w:hint="eastAsia"/>
        </w:rPr>
        <w:t>■地域の自殺の特性の評価</w:t>
      </w:r>
      <w:r>
        <w:rPr>
          <w:rFonts w:hint="eastAsia" w:ascii="游ゴシック Light" w:hAnsi="游ゴシック Light"/>
          <w:sz w:val="21"/>
          <w:szCs w:val="21"/>
        </w:rPr>
        <w:t>（H24～28合計</w:t>
      </w:r>
      <w:r>
        <w:rPr>
          <w:rFonts w:hint="eastAsia" w:ascii="游明朝" w:hAnsi="游明朝" w:eastAsia="游明朝"/>
          <w:sz w:val="21"/>
          <w:szCs w:val="21"/>
        </w:rPr>
        <w:t>）</w:t>
      </w:r>
    </w:p>
    <w:tbl>
      <w:tblPr>
        <w:tblStyle w:val="11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700"/>
        <w:gridCol w:w="1120"/>
        <w:gridCol w:w="1120"/>
        <w:gridCol w:w="266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指標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ランク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指標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ランク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総数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１）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16.9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－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男性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22.8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20歳未満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１）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3.0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★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女性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11.2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20歳代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１）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23.4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★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若年者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(20～39歳)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22.3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30歳代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１）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21.4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★a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高齢者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(70歳以上)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19.3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40歳代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１）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19.2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－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勤務・経営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２）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14.8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50歳代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１）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21.3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－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無職者・失業者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２）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34.7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60歳代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１）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16.5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－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ハイリスク地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３）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97%/-11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70歳代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１）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18.1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－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自殺手段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４）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34%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80歳以上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  <w:vertAlign w:val="superscript"/>
              </w:rPr>
              <w:t>１）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21.6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－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　</w:t>
            </w:r>
          </w:p>
        </w:tc>
      </w:tr>
    </w:tbl>
    <w:p>
      <w:pPr>
        <w:spacing w:line="240" w:lineRule="exact"/>
        <w:ind w:left="424" w:hanging="424" w:hangingChars="202"/>
        <w:jc w:val="left"/>
        <w:rPr>
          <w:rFonts w:hint="eastAsia" w:eastAsia="游明朝"/>
        </w:rPr>
      </w:pPr>
    </w:p>
    <w:p>
      <w:pPr>
        <w:spacing w:line="240" w:lineRule="exact"/>
        <w:ind w:left="424" w:hanging="424" w:hangingChars="202"/>
        <w:jc w:val="left"/>
        <w:rPr>
          <w:rFonts w:eastAsia="游明朝"/>
        </w:rPr>
      </w:pPr>
      <w:r>
        <w:rPr>
          <w:rFonts w:hint="eastAsia" w:eastAsia="游明朝"/>
        </w:rPr>
        <w:t>１）自殺統計にもとづく自殺率（10万対）。自殺者数１人の増減でランクが変わる場合はランクにａをつけた。</w:t>
      </w:r>
    </w:p>
    <w:p>
      <w:pPr>
        <w:spacing w:line="240" w:lineRule="exact"/>
        <w:ind w:left="424" w:hanging="424" w:hangingChars="202"/>
        <w:jc w:val="left"/>
        <w:rPr>
          <w:rFonts w:eastAsia="游明朝"/>
        </w:rPr>
      </w:pPr>
      <w:r>
        <w:rPr>
          <w:rFonts w:hint="eastAsia" w:eastAsia="游明朝"/>
        </w:rPr>
        <w:t>２）特別集計にもとづく20～59歳を対象とした自殺率（10万対）（</w:t>
      </w:r>
      <w:r>
        <w:rPr>
          <w:rFonts w:hint="eastAsia"/>
          <w:u w:val="single"/>
        </w:rPr>
        <w:t>公表可能</w:t>
      </w:r>
      <w:r>
        <w:rPr>
          <w:rFonts w:hint="eastAsia"/>
        </w:rPr>
        <w:t>）</w:t>
      </w:r>
      <w:r>
        <w:rPr>
          <w:rFonts w:hint="eastAsia" w:eastAsia="游明朝"/>
        </w:rPr>
        <w:t>。自殺者数１人の増減でランクが変わる場合はランクにａをつけた。</w:t>
      </w:r>
    </w:p>
    <w:p>
      <w:pPr>
        <w:spacing w:line="240" w:lineRule="exact"/>
        <w:ind w:left="424" w:hanging="424" w:hangingChars="202"/>
        <w:jc w:val="left"/>
        <w:rPr>
          <w:rFonts w:eastAsia="游明朝"/>
        </w:rPr>
      </w:pPr>
      <w:r>
        <w:rPr>
          <w:rFonts w:hint="eastAsia" w:eastAsia="游明朝"/>
        </w:rPr>
        <w:t>３）自殺統計にもとづく発見地÷住居地（％）とその差（人）。自殺者（発見地）1人の減少でランクが変わる場合はランクにａをつけた。</w:t>
      </w:r>
    </w:p>
    <w:p>
      <w:pPr>
        <w:spacing w:line="240" w:lineRule="exact"/>
        <w:ind w:left="424" w:hanging="424" w:hangingChars="202"/>
        <w:jc w:val="left"/>
        <w:rPr>
          <w:rFonts w:eastAsia="游明朝"/>
        </w:rPr>
      </w:pPr>
      <w:r>
        <w:rPr>
          <w:rFonts w:hint="eastAsia" w:eastAsia="游明朝"/>
        </w:rPr>
        <w:t>４）自殺統計もしくは特別集計にもとづく首つり以外の自殺の割合（%）。首つり以外の割合が多いと高い。（首つりと首つり以外の人数が共に</w:t>
      </w:r>
      <w:r>
        <w:rPr>
          <w:rFonts w:eastAsia="游明朝"/>
        </w:rPr>
        <w:t>5人以上であれば、公表可能（自殺統計から算出可能な場合の公表は差し支えない）。自殺手段関連資料（p.7）参照）</w:t>
      </w:r>
    </w:p>
    <w:p>
      <w:pPr>
        <w:spacing w:line="240" w:lineRule="exact"/>
        <w:ind w:left="424" w:hanging="424" w:hangingChars="202"/>
        <w:jc w:val="left"/>
        <w:rPr>
          <w:rFonts w:eastAsia="游明朝"/>
        </w:rPr>
      </w:pPr>
      <w:r>
        <w:rPr>
          <w:rFonts w:hint="eastAsia" w:eastAsia="游明朝"/>
        </w:rPr>
        <w:t>・指標欄の「</w:t>
      </w:r>
      <w:r>
        <w:rPr>
          <w:rFonts w:hint="eastAsia" w:ascii="游ゴシック" w:hAnsi="游ゴシック" w:eastAsia="游ゴシック"/>
        </w:rPr>
        <w:t>*</w:t>
      </w:r>
      <w:r>
        <w:rPr>
          <w:rFonts w:hint="eastAsia" w:eastAsia="游明朝"/>
        </w:rPr>
        <w:t>」は指標を算出していないことを示す。</w:t>
      </w:r>
    </w:p>
    <w:p>
      <w:pPr>
        <w:spacing w:line="240" w:lineRule="exact"/>
        <w:ind w:left="424" w:hanging="424" w:hangingChars="202"/>
        <w:jc w:val="left"/>
        <w:rPr>
          <w:rFonts w:ascii="ＭＳ ゴシック" w:hAnsi="ＭＳ ゴシック" w:eastAsia="ＭＳ ゴシック"/>
        </w:rPr>
      </w:pPr>
    </w:p>
    <w:p>
      <w:pPr>
        <w:spacing w:line="240" w:lineRule="exact"/>
        <w:ind w:left="424" w:hanging="424" w:hangingChars="202"/>
        <w:jc w:val="left"/>
        <w:rPr>
          <w:rFonts w:ascii="游ゴシック Light" w:hAnsi="游ゴシック Light" w:eastAsia="游ゴシック Light"/>
        </w:rPr>
      </w:pPr>
      <w:r>
        <w:rPr>
          <w:rFonts w:hint="eastAsia" w:ascii="游ゴシック Light" w:hAnsi="游ゴシック Light" w:eastAsia="游ゴシック Light"/>
        </w:rPr>
        <w:t>ランクの標章</w:t>
      </w:r>
    </w:p>
    <w:tbl>
      <w:tblPr>
        <w:tblStyle w:val="12"/>
        <w:tblW w:w="334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gridSpan w:val="2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游ゴシック" w:hAnsi="游ゴシック" w:eastAsia="游ゴシック" w:cs="ＭＳ Ｐゴシック"/>
                <w:color w:val="000000"/>
                <w:kern w:val="0"/>
              </w:rPr>
            </w:pPr>
            <w:r>
              <w:rPr>
                <w:rFonts w:hint="eastAsia" w:ascii="游ゴシック" w:hAnsi="游ゴシック" w:eastAsia="游ゴシック" w:cs="ＭＳ Ｐゴシック"/>
                <w:color w:val="000000"/>
                <w:kern w:val="0"/>
              </w:rPr>
              <w:t>ランク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游ゴシック" w:hAnsi="游ゴシック" w:eastAsia="游ゴシック" w:cs="ＭＳ Ｐゴシック"/>
                <w:color w:val="000000"/>
                <w:kern w:val="0"/>
              </w:rPr>
            </w:pPr>
            <w:r>
              <w:rPr>
                <w:rFonts w:hint="eastAsia" w:ascii="游ゴシック" w:hAnsi="游ゴシック" w:eastAsia="游ゴシック" w:cs="ＭＳ Ｐゴシック"/>
                <w:color w:val="000000"/>
                <w:kern w:val="0"/>
              </w:rPr>
              <w:t>★★★／☆☆</w:t>
            </w:r>
          </w:p>
        </w:tc>
        <w:tc>
          <w:tcPr>
            <w:tcW w:w="1691" w:type="dxa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游ゴシック" w:hAnsi="游ゴシック" w:eastAsia="游ゴシック" w:cs="ＭＳ Ｐゴシック"/>
                <w:color w:val="000000"/>
                <w:kern w:val="0"/>
              </w:rPr>
            </w:pPr>
            <w:r>
              <w:rPr>
                <w:rFonts w:hint="eastAsia" w:ascii="游ゴシック" w:hAnsi="游ゴシック" w:eastAsia="游ゴシック" w:cs="ＭＳ Ｐゴシック"/>
                <w:color w:val="000000"/>
                <w:kern w:val="0"/>
              </w:rPr>
              <w:t>上位10%以内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游ゴシック" w:hAnsi="游ゴシック" w:eastAsia="游ゴシック" w:cs="ＭＳ Ｐゴシック"/>
                <w:color w:val="000000"/>
                <w:kern w:val="0"/>
              </w:rPr>
            </w:pPr>
            <w:r>
              <w:rPr>
                <w:rFonts w:hint="eastAsia" w:ascii="游ゴシック" w:hAnsi="游ゴシック" w:eastAsia="游ゴシック" w:cs="ＭＳ Ｐゴシック"/>
                <w:color w:val="000000"/>
                <w:kern w:val="0"/>
              </w:rPr>
              <w:t>★★／☆</w:t>
            </w:r>
          </w:p>
        </w:tc>
        <w:tc>
          <w:tcPr>
            <w:tcW w:w="1691" w:type="dxa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游ゴシック" w:hAnsi="游ゴシック" w:eastAsia="游ゴシック" w:cs="ＭＳ Ｐゴシック"/>
                <w:color w:val="000000"/>
                <w:kern w:val="0"/>
              </w:rPr>
            </w:pPr>
            <w:r>
              <w:rPr>
                <w:rFonts w:hint="eastAsia" w:ascii="游ゴシック" w:hAnsi="游ゴシック" w:eastAsia="游ゴシック" w:cs="ＭＳ Ｐゴシック"/>
                <w:color w:val="000000"/>
                <w:kern w:val="0"/>
              </w:rPr>
              <w:t>上位10~20%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游ゴシック" w:hAnsi="游ゴシック" w:eastAsia="游ゴシック" w:cs="ＭＳ Ｐゴシック"/>
                <w:color w:val="000000"/>
                <w:kern w:val="0"/>
              </w:rPr>
            </w:pPr>
            <w:r>
              <w:rPr>
                <w:rFonts w:hint="eastAsia" w:ascii="游ゴシック" w:hAnsi="游ゴシック" w:eastAsia="游ゴシック" w:cs="ＭＳ Ｐゴシック"/>
                <w:color w:val="000000"/>
                <w:kern w:val="0"/>
              </w:rPr>
              <w:t>★</w:t>
            </w:r>
          </w:p>
        </w:tc>
        <w:tc>
          <w:tcPr>
            <w:tcW w:w="1691" w:type="dxa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游ゴシック" w:hAnsi="游ゴシック" w:eastAsia="游ゴシック" w:cs="ＭＳ Ｐゴシック"/>
                <w:color w:val="000000"/>
                <w:kern w:val="0"/>
              </w:rPr>
            </w:pPr>
            <w:r>
              <w:rPr>
                <w:rFonts w:hint="eastAsia" w:ascii="游ゴシック" w:hAnsi="游ゴシック" w:eastAsia="游ゴシック" w:cs="ＭＳ Ｐゴシック"/>
                <w:color w:val="000000"/>
                <w:kern w:val="0"/>
              </w:rPr>
              <w:t>上位20~40%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游ゴシック" w:hAnsi="游ゴシック" w:eastAsia="游ゴシック" w:cs="ＭＳ Ｐゴシック"/>
                <w:color w:val="000000"/>
                <w:kern w:val="0"/>
              </w:rPr>
            </w:pPr>
            <w:r>
              <w:rPr>
                <w:rFonts w:hint="eastAsia" w:ascii="游ゴシック" w:hAnsi="游ゴシック" w:eastAsia="游ゴシック" w:cs="ＭＳ Ｐゴシック"/>
                <w:color w:val="000000"/>
                <w:kern w:val="0"/>
              </w:rPr>
              <w:t>－</w:t>
            </w:r>
          </w:p>
        </w:tc>
        <w:tc>
          <w:tcPr>
            <w:tcW w:w="1691" w:type="dxa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游ゴシック" w:hAnsi="游ゴシック" w:eastAsia="游ゴシック" w:cs="ＭＳ Ｐゴシック"/>
                <w:color w:val="000000"/>
                <w:kern w:val="0"/>
              </w:rPr>
            </w:pPr>
            <w:r>
              <w:rPr>
                <w:rFonts w:hint="eastAsia" w:ascii="游ゴシック" w:hAnsi="游ゴシック" w:eastAsia="游ゴシック" w:cs="ＭＳ Ｐゴシック"/>
                <w:color w:val="000000"/>
                <w:kern w:val="0"/>
              </w:rPr>
              <w:t>その他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游ゴシック" w:hAnsi="游ゴシック" w:eastAsia="游ゴシック" w:cs="ＭＳ Ｐゴシック"/>
                <w:color w:val="000000"/>
                <w:kern w:val="0"/>
              </w:rPr>
            </w:pPr>
            <w:r>
              <w:rPr>
                <w:rFonts w:hint="eastAsia" w:ascii="游ゴシック" w:hAnsi="游ゴシック" w:eastAsia="游ゴシック" w:cs="ＭＳ Ｐゴシック"/>
                <w:color w:val="000000"/>
                <w:kern w:val="0"/>
              </w:rPr>
              <w:t>＊＊</w:t>
            </w:r>
          </w:p>
        </w:tc>
        <w:tc>
          <w:tcPr>
            <w:tcW w:w="1691" w:type="dxa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游ゴシック" w:hAnsi="游ゴシック" w:eastAsia="游ゴシック" w:cs="ＭＳ Ｐゴシック"/>
                <w:color w:val="000000"/>
                <w:kern w:val="0"/>
              </w:rPr>
            </w:pPr>
            <w:r>
              <w:rPr>
                <w:rFonts w:hint="eastAsia" w:ascii="游ゴシック" w:hAnsi="游ゴシック" w:eastAsia="游ゴシック" w:cs="ＭＳ Ｐゴシック"/>
                <w:color w:val="000000"/>
                <w:kern w:val="0"/>
              </w:rPr>
              <w:t>評価せず</w:t>
            </w:r>
          </w:p>
        </w:tc>
      </w:tr>
    </w:tbl>
    <w:p>
      <w:pPr>
        <w:widowControl/>
        <w:spacing w:line="240" w:lineRule="exact"/>
        <w:jc w:val="left"/>
      </w:pPr>
      <w:r>
        <w:rPr>
          <w:rFonts w:hint="eastAsia"/>
        </w:rPr>
        <w:t>※市区町村について全国市区町村に対するランクを評価した。</w:t>
      </w:r>
    </w:p>
    <w:p>
      <w:pPr>
        <w:widowControl/>
        <w:jc w:val="left"/>
      </w:pPr>
      <w:r>
        <w:br w:type="page"/>
      </w:r>
    </w:p>
    <w:p>
      <w:pPr>
        <w:widowControl/>
        <w:jc w:val="left"/>
        <w:rPr>
          <w:rFonts w:ascii="游ゴシック Light" w:hAnsi="游ゴシック Light" w:eastAsia="游ゴシック Light"/>
        </w:rPr>
      </w:pPr>
      <w:r>
        <w:rPr>
          <w:rFonts w:hint="eastAsia" w:ascii="游ゴシック Light" w:hAnsi="游ゴシック Light" w:eastAsia="游ゴシック Light"/>
        </w:rPr>
        <w:t>地域の自殺の概要（グラフの元データ）</w:t>
      </w:r>
      <w:bookmarkStart w:id="0" w:name="_Hlk499819385"/>
      <w:r>
        <w:rPr>
          <w:rFonts w:hint="eastAsia" w:ascii="游ゴシック Light" w:hAnsi="游ゴシック Light" w:eastAsia="游ゴシック Light"/>
        </w:rPr>
        <w:t>(H24～28合計)</w:t>
      </w:r>
      <w:bookmarkEnd w:id="0"/>
    </w:p>
    <w:p>
      <w:pPr>
        <w:widowControl/>
        <w:jc w:val="left"/>
      </w:pPr>
      <w:r>
        <w:t>自殺者の割合と自殺率（10万対）</w:t>
      </w:r>
    </w:p>
    <w:tbl>
      <w:tblPr>
        <w:tblStyle w:val="11"/>
        <w:tblW w:w="10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00"/>
        <w:gridCol w:w="1080"/>
        <w:gridCol w:w="900"/>
        <w:gridCol w:w="900"/>
        <w:gridCol w:w="900"/>
        <w:gridCol w:w="780"/>
        <w:gridCol w:w="900"/>
        <w:gridCol w:w="1160"/>
        <w:gridCol w:w="1080"/>
        <w:gridCol w:w="90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年齢階級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職業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同独居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自殺者数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順位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割合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自殺率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br/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(10万対)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推定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br/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全国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br/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割合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全国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br/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自殺率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男性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20～39歳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有職者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同居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7.6%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17.1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30420.2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6.0%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独居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34.7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10954.1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無職者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同居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62.0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7421.8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独居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4.1%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143.8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1946.9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2.3%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105.9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40～59歳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有職者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同居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12.4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43560.8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10.3%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独居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21.3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8436.7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無職者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同居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132.2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2874.2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133.2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独居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4.7%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283.4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1129.3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4.2%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60歳以上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有職者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同居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10.0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20029.7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4.5%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独居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25.4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2364.8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1.3%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無職者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同居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9.9%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23.3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29123.3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12.9%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独居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82.3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4132.2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6.6%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96.2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女性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20～39歳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有職者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同居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3.5%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11.3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21,194.4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独居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12.0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5,007.0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0.7%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無職者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同居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18.2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19,797.6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独居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2,090.0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40～59歳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有職者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同居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2.3%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8.1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19,797.5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1.9%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独居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9.1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2,194.5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無職者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同居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7.3%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16.7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29,896.5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独居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0.6%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17.2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2,331.5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44.7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60歳以上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有職者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同居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3.3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6,129.7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0.7%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独居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1,106.2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無職者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同居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7.6%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11.1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46,894.3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9.9%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独居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 xml:space="preserve">30.2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9,945.8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3.9%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24.0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w:t>*各区分の自殺率の母数とした推定人口については、平成27年国勢調査就業状態等基本集計を用い、労働力状態が「不詳」の人口を有職者と無職者（労働力人口のうち「家事のほか仕事」、「学業のかたわら仕事」と失業者および非労働力人口の合計）に按分した。</w:t>
      </w:r>
    </w:p>
    <w:p>
      <w:pPr>
        <w:widowControl/>
        <w:jc w:val="left"/>
      </w:pPr>
      <w:r>
        <w:br w:type="page"/>
      </w:r>
    </w:p>
    <w:p>
      <w:pPr>
        <w:pStyle w:val="2"/>
      </w:pPr>
      <w:r>
        <w:rPr>
          <w:rFonts w:hint="eastAsia"/>
        </w:rPr>
        <w:t>■</w:t>
      </w:r>
      <w:r>
        <w:rPr>
          <w:rFonts w:hint="eastAsia"/>
          <w:u w:val="single"/>
        </w:rPr>
        <w:t>全般的な状況</w:t>
      </w:r>
    </w:p>
    <w:tbl>
      <w:tblPr>
        <w:tblStyle w:val="11"/>
        <w:tblW w:w="10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3800"/>
        <w:gridCol w:w="900"/>
        <w:gridCol w:w="900"/>
        <w:gridCol w:w="900"/>
        <w:gridCol w:w="900"/>
        <w:gridCol w:w="900"/>
        <w:gridCol w:w="90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H24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H25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H26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H27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H28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平均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自殺統計　自殺者数(自殺日・住居地)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自殺統計　自殺率(自殺日・住居地)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人口動態統計　自殺者数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69.8</w:t>
            </w:r>
          </w:p>
        </w:tc>
      </w:tr>
    </w:tbl>
    <w:p/>
    <w:p>
      <w:r>
        <w:rPr>
          <w:rFonts w:hint="eastAsia"/>
          <w:u w:val="single"/>
        </w:rPr>
        <w:t>性・年代別</w:t>
      </w:r>
      <w:r>
        <w:rPr>
          <w:rFonts w:hint="eastAsia"/>
        </w:rPr>
        <w:t>（H24～28年平均）（自殺統計（自殺日・住居地））</w:t>
      </w:r>
    </w:p>
    <w:p>
      <w:pPr>
        <w:jc w:val="left"/>
      </w:pPr>
      <w:r>
        <w:rPr>
          <w:rFonts w:ascii="游明朝" w:hAnsi="游明朝" w:eastAsia="游明朝" w:cs="Times New Roman"/>
          <w:kern w:val="2"/>
          <w:sz w:val="21"/>
          <w:szCs w:val="22"/>
          <w:lang w:val="en-US" w:eastAsia="ja-JP" w:bidi="ar-SA"/>
        </w:rPr>
        <w:pict>
          <v:shape id="図 6" o:spid="_x0000_s1028" type="#_x0000_t75" style="height:195pt;width:417.7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游明朝" w:hAnsi="游明朝" w:eastAsia="游明朝" w:cs="Times New Roman"/>
          <w:kern w:val="2"/>
          <w:sz w:val="21"/>
          <w:szCs w:val="22"/>
          <w:lang w:val="en-US" w:eastAsia="ja-JP" w:bidi="ar-SA"/>
        </w:rPr>
        <w:pict>
          <v:shape id="図 7" o:spid="_x0000_s1029" type="#_x0000_t75" style="height:194.25pt;width:419.2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hint="eastAsia"/>
        </w:rPr>
        <w:t>*全自殺者に占める割合を示す。</w:t>
      </w:r>
    </w:p>
    <w:p/>
    <w:p/>
    <w:p>
      <w:pPr>
        <w:rPr>
          <w:rFonts w:hint="eastAsia"/>
          <w:u w:val="single"/>
        </w:rPr>
      </w:pPr>
      <w:r>
        <w:rPr>
          <w:rFonts w:hint="eastAsia"/>
          <w:u w:val="single"/>
        </w:rPr>
        <w:t>長期的な推移</w:t>
      </w:r>
    </w:p>
    <w:p>
      <w:pPr>
        <w:widowControl/>
        <w:jc w:val="left"/>
      </w:pPr>
      <w:r>
        <w:rPr>
          <w:rFonts w:ascii="游明朝" w:hAnsi="游明朝" w:eastAsia="游明朝" w:cs="Times New Roman"/>
          <w:kern w:val="2"/>
          <w:sz w:val="21"/>
          <w:szCs w:val="22"/>
          <w:lang w:val="en-US" w:eastAsia="ja-JP" w:bidi="ar-SA"/>
        </w:rPr>
        <w:pict>
          <v:shape id="図 1" o:spid="_x0000_s1030" type="#_x0000_t75" style="height:114.95pt;width:487.3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</w:pPr>
      <w:r>
        <w:rPr>
          <w:rFonts w:hint="eastAsia"/>
        </w:rPr>
        <w:t>■自殺者における未遂歴の有無</w:t>
      </w:r>
    </w:p>
    <w:p>
      <w:pPr>
        <w:jc w:val="left"/>
      </w:pPr>
      <w:r>
        <w:rPr>
          <w:rFonts w:hint="eastAsia"/>
          <w:u w:val="single"/>
        </w:rPr>
        <w:t>自殺者における未遂歴の推移</w:t>
      </w:r>
      <w:r>
        <w:rPr>
          <w:rFonts w:hint="eastAsia"/>
        </w:rPr>
        <w:t>（自殺統計（自殺日・住居地</w:t>
      </w:r>
      <w:r>
        <w:t>）</w:t>
      </w:r>
      <w:r>
        <w:rPr>
          <w:rFonts w:hint="eastAsia"/>
        </w:rPr>
        <w:t>）</w:t>
      </w:r>
    </w:p>
    <w:tbl>
      <w:tblPr>
        <w:tblStyle w:val="11"/>
        <w:tblW w:w="9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880"/>
        <w:gridCol w:w="1060"/>
        <w:gridCol w:w="820"/>
        <w:gridCol w:w="820"/>
        <w:gridCol w:w="820"/>
        <w:gridCol w:w="820"/>
        <w:gridCol w:w="820"/>
        <w:gridCol w:w="820"/>
        <w:gridCol w:w="820"/>
        <w:gridCol w:w="820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未遂歴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H21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H22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H23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H24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H25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H26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H27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H28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H24～28</w:t>
            </w: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合計(人)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　総数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あり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なし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不詳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　男性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あり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なし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不詳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　女性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あり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なし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不詳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6"/>
                <w:szCs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11</w:t>
            </w:r>
          </w:p>
        </w:tc>
      </w:tr>
    </w:tbl>
    <w:p>
      <w:pPr>
        <w:jc w:val="left"/>
        <w:rPr>
          <w:rFonts w:ascii="ＭＳ ゴシック" w:hAnsi="ＭＳ ゴシック" w:eastAsia="ＭＳ ゴシック"/>
        </w:rPr>
      </w:pPr>
    </w:p>
    <w:p>
      <w:pPr>
        <w:jc w:val="left"/>
      </w:pPr>
      <w:r>
        <w:rPr>
          <w:rFonts w:hint="eastAsia"/>
        </w:rPr>
        <w:t>自殺統計で未遂歴の有無が秘匿処理されている（空欄がある）場合等は、以下を参考のこと。（市町村合併後や二次医療圏単位での集計で一部の（旧）市町村に秘匿処理されている場合、合計も空欄とし、5年合計は算出していない）</w:t>
      </w:r>
    </w:p>
    <w:p>
      <w:pPr>
        <w:jc w:val="left"/>
      </w:pPr>
    </w:p>
    <w:p>
      <w:pPr>
        <w:jc w:val="left"/>
      </w:pPr>
      <w:r>
        <w:rPr>
          <w:rFonts w:hint="eastAsia"/>
          <w:u w:val="single"/>
        </w:rPr>
        <w:t>自殺者における未遂歴の総数</w:t>
      </w:r>
      <w:r>
        <w:rPr>
          <w:rFonts w:hint="eastAsia"/>
        </w:rPr>
        <w:t>（自殺統計(再掲)もしくは特別集計（自殺日・住居地、H24~28合計））</w:t>
      </w:r>
    </w:p>
    <w:p>
      <w:pPr>
        <w:jc w:val="left"/>
        <w:rPr>
          <w:rFonts w:ascii="ＭＳ ゴシック" w:hAnsi="ＭＳ ゴシック" w:eastAsia="ＭＳ ゴシック"/>
          <w:color w:val="000000"/>
          <w:sz w:val="18"/>
          <w:szCs w:val="18"/>
        </w:rPr>
      </w:pPr>
    </w:p>
    <w:tbl>
      <w:tblPr>
        <w:tblStyle w:val="11"/>
        <w:tblW w:w="4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60"/>
        <w:gridCol w:w="1020"/>
        <w:gridCol w:w="1000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未遂歴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自殺者数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割合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游ゴシック" w:hAnsi="游ゴシック" w:eastAsia="游ゴシック"/>
                <w:color w:val="000000"/>
                <w:sz w:val="18"/>
                <w:szCs w:val="18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18"/>
                <w:szCs w:val="18"/>
              </w:rPr>
              <w:t>全国割合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あり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游ゴシック" w:hAnsi="游ゴシック" w:eastAsia="游ゴシック"/>
                <w:color w:val="000000"/>
                <w:sz w:val="18"/>
                <w:szCs w:val="18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18"/>
                <w:szCs w:val="18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なし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游ゴシック" w:hAnsi="游ゴシック" w:eastAsia="游ゴシック"/>
                <w:color w:val="000000"/>
                <w:sz w:val="18"/>
                <w:szCs w:val="18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18"/>
                <w:szCs w:val="18"/>
              </w:rPr>
              <w:t>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不詳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游ゴシック" w:hAnsi="游ゴシック" w:eastAsia="游ゴシック"/>
                <w:color w:val="000000"/>
                <w:sz w:val="18"/>
                <w:szCs w:val="18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18"/>
                <w:szCs w:val="18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ＭＳ ゴシック" w:hAnsi="ＭＳ ゴシック" w:eastAsia="ＭＳ ゴシック"/>
                <w:color w:val="000000"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游ゴシック" w:hAnsi="游ゴシック" w:eastAsia="游ゴシック"/>
                <w:color w:val="000000"/>
                <w:sz w:val="18"/>
                <w:szCs w:val="18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18"/>
                <w:szCs w:val="18"/>
              </w:rPr>
              <w:t>100%</w:t>
            </w:r>
          </w:p>
        </w:tc>
      </w:tr>
    </w:tbl>
    <w:p>
      <w:pPr>
        <w:rPr>
          <w:rFonts w:eastAsia="游明朝"/>
        </w:rPr>
      </w:pPr>
      <w:r>
        <w:rPr>
          <w:rFonts w:hint="eastAsia" w:eastAsia="游明朝"/>
        </w:rPr>
        <w:t>※特別集計による場合、</w:t>
      </w:r>
      <w:r>
        <w:rPr>
          <w:rFonts w:hint="eastAsia" w:eastAsia="游明朝"/>
          <w:i/>
          <w:u w:val="single"/>
        </w:rPr>
        <w:t>5人未満（斜体）</w:t>
      </w:r>
      <w:r>
        <w:rPr>
          <w:rFonts w:hint="eastAsia" w:eastAsia="游明朝"/>
          <w:u w:val="single"/>
        </w:rPr>
        <w:t>は公表不可</w:t>
      </w:r>
      <w:r>
        <w:rPr>
          <w:rFonts w:hint="eastAsia" w:eastAsia="游明朝"/>
        </w:rPr>
        <w:t>（公表する場合、区分を合算し5人以上にすること）</w:t>
      </w:r>
    </w:p>
    <w:p>
      <w:pPr>
        <w:widowControl/>
        <w:jc w:val="left"/>
        <w:rPr>
          <w:rFonts w:ascii="游ゴシック" w:hAnsi="游ゴシック" w:eastAsia="游ゴシック" w:cs="ＭＳ Ｐゴシック"/>
          <w:color w:val="000000"/>
          <w:kern w:val="0"/>
        </w:rPr>
      </w:pPr>
    </w:p>
    <w:sectPr>
      <w:headerReference r:id="rId4" w:type="default"/>
      <w:footerReference r:id="rId5" w:type="default"/>
      <w:pgSz w:w="11906" w:h="16838"/>
      <w:pgMar w:top="1440" w:right="1080" w:bottom="1440" w:left="1080" w:header="851" w:footer="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游明朝">
    <w:altName w:val="ＭＳ 明朝"/>
    <w:panose1 w:val="00000000000000000000"/>
    <w:charset w:val="80"/>
    <w:family w:val="auto"/>
    <w:pitch w:val="default"/>
    <w:sig w:usb0="00000000" w:usb1="2AC7FCFF" w:usb2="00000012" w:usb3="00000000" w:csb0="0002009F" w:csb1="00000000"/>
  </w:font>
  <w:font w:name="游ゴシック Light">
    <w:altName w:val="ＭＳ ゴシック"/>
    <w:panose1 w:val="00000000000000000000"/>
    <w:charset w:val="80"/>
    <w:family w:val="auto"/>
    <w:pitch w:val="default"/>
    <w:sig w:usb0="00000000" w:usb1="2AC7FDFF" w:usb2="00000016" w:usb3="00000000" w:csb0="0002009F" w:csb1="00000000"/>
  </w:font>
  <w:font w:name="游ゴシック">
    <w:altName w:val="ＭＳ ゴシック"/>
    <w:panose1 w:val="00000000000000000000"/>
    <w:charset w:val="80"/>
    <w:family w:val="auto"/>
    <w:pitch w:val="default"/>
    <w:sig w:usb0="00000000" w:usb1="2AC7FDFF" w:usb2="00000016" w:usb3="00000000" w:csb0="0002009F" w:csb1="00000000"/>
  </w:font>
  <w:font w:name="ＭＳ Ｐゴシック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16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hint="eastAsia"/>
      </w:rPr>
      <w:t>柏市</w:t>
    </w:r>
    <w:r>
      <w:t xml:space="preserve"> 地域自殺実態プロファイル【2017】(JSSC 2017)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0284C"/>
    <w:rsid w:val="000011E7"/>
    <w:rsid w:val="00012BC1"/>
    <w:rsid w:val="000133E7"/>
    <w:rsid w:val="00013A0A"/>
    <w:rsid w:val="00014E79"/>
    <w:rsid w:val="000161BB"/>
    <w:rsid w:val="00017B05"/>
    <w:rsid w:val="00022AF4"/>
    <w:rsid w:val="000263D6"/>
    <w:rsid w:val="000603F1"/>
    <w:rsid w:val="0006311F"/>
    <w:rsid w:val="000702DC"/>
    <w:rsid w:val="00070A58"/>
    <w:rsid w:val="0007168E"/>
    <w:rsid w:val="00076EC4"/>
    <w:rsid w:val="00077082"/>
    <w:rsid w:val="00095040"/>
    <w:rsid w:val="0009561E"/>
    <w:rsid w:val="000A0B9D"/>
    <w:rsid w:val="000A349F"/>
    <w:rsid w:val="000A5553"/>
    <w:rsid w:val="000A6851"/>
    <w:rsid w:val="000B2CEA"/>
    <w:rsid w:val="000B554A"/>
    <w:rsid w:val="000B664F"/>
    <w:rsid w:val="000B7700"/>
    <w:rsid w:val="000C6708"/>
    <w:rsid w:val="000C6843"/>
    <w:rsid w:val="000D6D84"/>
    <w:rsid w:val="000D7093"/>
    <w:rsid w:val="000E4903"/>
    <w:rsid w:val="000E54AB"/>
    <w:rsid w:val="000F09CE"/>
    <w:rsid w:val="000F0BC9"/>
    <w:rsid w:val="0010284C"/>
    <w:rsid w:val="00113508"/>
    <w:rsid w:val="00113B9B"/>
    <w:rsid w:val="00126ADB"/>
    <w:rsid w:val="00130AA7"/>
    <w:rsid w:val="0015314A"/>
    <w:rsid w:val="001546B6"/>
    <w:rsid w:val="00163DDD"/>
    <w:rsid w:val="001701E8"/>
    <w:rsid w:val="0017087D"/>
    <w:rsid w:val="001741BF"/>
    <w:rsid w:val="00182E9C"/>
    <w:rsid w:val="001930B1"/>
    <w:rsid w:val="001A2701"/>
    <w:rsid w:val="001A6F59"/>
    <w:rsid w:val="001B24C0"/>
    <w:rsid w:val="001B48A8"/>
    <w:rsid w:val="001C1C09"/>
    <w:rsid w:val="001C2F82"/>
    <w:rsid w:val="001C5DE2"/>
    <w:rsid w:val="001F692C"/>
    <w:rsid w:val="00204228"/>
    <w:rsid w:val="00212ABE"/>
    <w:rsid w:val="00216A9F"/>
    <w:rsid w:val="0023146B"/>
    <w:rsid w:val="002339BD"/>
    <w:rsid w:val="002371C2"/>
    <w:rsid w:val="002411CA"/>
    <w:rsid w:val="0024720F"/>
    <w:rsid w:val="00256BF5"/>
    <w:rsid w:val="002708D7"/>
    <w:rsid w:val="00276AB1"/>
    <w:rsid w:val="00277EFE"/>
    <w:rsid w:val="002838C5"/>
    <w:rsid w:val="002871D1"/>
    <w:rsid w:val="002962E8"/>
    <w:rsid w:val="002A03A3"/>
    <w:rsid w:val="002A10A7"/>
    <w:rsid w:val="002A6949"/>
    <w:rsid w:val="002B01F3"/>
    <w:rsid w:val="002B19E9"/>
    <w:rsid w:val="002C4FAB"/>
    <w:rsid w:val="002C70E4"/>
    <w:rsid w:val="002D2869"/>
    <w:rsid w:val="002D32B8"/>
    <w:rsid w:val="002D709D"/>
    <w:rsid w:val="002D7DDF"/>
    <w:rsid w:val="002F480C"/>
    <w:rsid w:val="00302621"/>
    <w:rsid w:val="00305398"/>
    <w:rsid w:val="003131A1"/>
    <w:rsid w:val="00313DCC"/>
    <w:rsid w:val="00313E66"/>
    <w:rsid w:val="00315BBD"/>
    <w:rsid w:val="00331A5D"/>
    <w:rsid w:val="00343EF8"/>
    <w:rsid w:val="003539C5"/>
    <w:rsid w:val="00353D0D"/>
    <w:rsid w:val="00356A18"/>
    <w:rsid w:val="00363878"/>
    <w:rsid w:val="00366EDD"/>
    <w:rsid w:val="00375413"/>
    <w:rsid w:val="00384F57"/>
    <w:rsid w:val="00391E87"/>
    <w:rsid w:val="00394BAD"/>
    <w:rsid w:val="003A5535"/>
    <w:rsid w:val="003B1F9E"/>
    <w:rsid w:val="003B52EB"/>
    <w:rsid w:val="003C0464"/>
    <w:rsid w:val="003D0990"/>
    <w:rsid w:val="003D2691"/>
    <w:rsid w:val="003E3563"/>
    <w:rsid w:val="003E6FE1"/>
    <w:rsid w:val="003F2EC9"/>
    <w:rsid w:val="003F4D37"/>
    <w:rsid w:val="004004DD"/>
    <w:rsid w:val="00401469"/>
    <w:rsid w:val="00422191"/>
    <w:rsid w:val="0042793B"/>
    <w:rsid w:val="00431EF0"/>
    <w:rsid w:val="004342EA"/>
    <w:rsid w:val="00434E70"/>
    <w:rsid w:val="00442172"/>
    <w:rsid w:val="0045144A"/>
    <w:rsid w:val="00452B94"/>
    <w:rsid w:val="00452B9F"/>
    <w:rsid w:val="00454C17"/>
    <w:rsid w:val="00455A76"/>
    <w:rsid w:val="004629D5"/>
    <w:rsid w:val="004744D9"/>
    <w:rsid w:val="00475B19"/>
    <w:rsid w:val="00476425"/>
    <w:rsid w:val="004808E2"/>
    <w:rsid w:val="004845D5"/>
    <w:rsid w:val="00485269"/>
    <w:rsid w:val="00495CD4"/>
    <w:rsid w:val="004A1934"/>
    <w:rsid w:val="004B2DA8"/>
    <w:rsid w:val="004B645E"/>
    <w:rsid w:val="004B6AC0"/>
    <w:rsid w:val="004B71D4"/>
    <w:rsid w:val="004C6AEA"/>
    <w:rsid w:val="004D4F4C"/>
    <w:rsid w:val="004F0103"/>
    <w:rsid w:val="004F0546"/>
    <w:rsid w:val="004F221A"/>
    <w:rsid w:val="00503F2B"/>
    <w:rsid w:val="00505EA8"/>
    <w:rsid w:val="005123BD"/>
    <w:rsid w:val="00513673"/>
    <w:rsid w:val="00515130"/>
    <w:rsid w:val="005167B5"/>
    <w:rsid w:val="0052210A"/>
    <w:rsid w:val="00544771"/>
    <w:rsid w:val="00547657"/>
    <w:rsid w:val="00582EB9"/>
    <w:rsid w:val="005A334C"/>
    <w:rsid w:val="005A741D"/>
    <w:rsid w:val="005B0DB0"/>
    <w:rsid w:val="005C20E7"/>
    <w:rsid w:val="005C475B"/>
    <w:rsid w:val="005C64D0"/>
    <w:rsid w:val="005D0901"/>
    <w:rsid w:val="005D56FD"/>
    <w:rsid w:val="005D6D12"/>
    <w:rsid w:val="005E5EAB"/>
    <w:rsid w:val="005F327B"/>
    <w:rsid w:val="005F4C93"/>
    <w:rsid w:val="006002A8"/>
    <w:rsid w:val="00600451"/>
    <w:rsid w:val="006076EF"/>
    <w:rsid w:val="0061508C"/>
    <w:rsid w:val="00624A22"/>
    <w:rsid w:val="00624DFC"/>
    <w:rsid w:val="006251DA"/>
    <w:rsid w:val="006252B1"/>
    <w:rsid w:val="006269AE"/>
    <w:rsid w:val="00630625"/>
    <w:rsid w:val="00637437"/>
    <w:rsid w:val="00641E57"/>
    <w:rsid w:val="006507CC"/>
    <w:rsid w:val="00660303"/>
    <w:rsid w:val="006606B9"/>
    <w:rsid w:val="00660ABC"/>
    <w:rsid w:val="006636D5"/>
    <w:rsid w:val="00663F7F"/>
    <w:rsid w:val="00691CBD"/>
    <w:rsid w:val="0069363D"/>
    <w:rsid w:val="00694E75"/>
    <w:rsid w:val="006A233F"/>
    <w:rsid w:val="006A3339"/>
    <w:rsid w:val="006A3EB9"/>
    <w:rsid w:val="006B13EC"/>
    <w:rsid w:val="006B4D0F"/>
    <w:rsid w:val="006C0440"/>
    <w:rsid w:val="006C11EF"/>
    <w:rsid w:val="006D12E6"/>
    <w:rsid w:val="006E4F0B"/>
    <w:rsid w:val="006F0183"/>
    <w:rsid w:val="006F42FE"/>
    <w:rsid w:val="0070709F"/>
    <w:rsid w:val="00717BB6"/>
    <w:rsid w:val="00720F09"/>
    <w:rsid w:val="00723F6F"/>
    <w:rsid w:val="00730D21"/>
    <w:rsid w:val="0073140F"/>
    <w:rsid w:val="0074135C"/>
    <w:rsid w:val="00781D96"/>
    <w:rsid w:val="00783678"/>
    <w:rsid w:val="007848DC"/>
    <w:rsid w:val="00792074"/>
    <w:rsid w:val="00796265"/>
    <w:rsid w:val="00797300"/>
    <w:rsid w:val="00797ABF"/>
    <w:rsid w:val="007A4AD6"/>
    <w:rsid w:val="007A6CA4"/>
    <w:rsid w:val="007B37B5"/>
    <w:rsid w:val="007B54F0"/>
    <w:rsid w:val="007C2CC1"/>
    <w:rsid w:val="007D4813"/>
    <w:rsid w:val="007D5498"/>
    <w:rsid w:val="007E44BD"/>
    <w:rsid w:val="007E5923"/>
    <w:rsid w:val="00802509"/>
    <w:rsid w:val="00802E71"/>
    <w:rsid w:val="00804BEF"/>
    <w:rsid w:val="00812DDE"/>
    <w:rsid w:val="008347DC"/>
    <w:rsid w:val="008437CE"/>
    <w:rsid w:val="0085290B"/>
    <w:rsid w:val="00853D3F"/>
    <w:rsid w:val="00856B2C"/>
    <w:rsid w:val="008571D1"/>
    <w:rsid w:val="00860C46"/>
    <w:rsid w:val="00860DED"/>
    <w:rsid w:val="00884859"/>
    <w:rsid w:val="008914D2"/>
    <w:rsid w:val="008940DC"/>
    <w:rsid w:val="008970D3"/>
    <w:rsid w:val="008E1026"/>
    <w:rsid w:val="008F6169"/>
    <w:rsid w:val="009033FB"/>
    <w:rsid w:val="00904E9F"/>
    <w:rsid w:val="009115B1"/>
    <w:rsid w:val="009138AB"/>
    <w:rsid w:val="0091500B"/>
    <w:rsid w:val="00934689"/>
    <w:rsid w:val="009346BD"/>
    <w:rsid w:val="00942F68"/>
    <w:rsid w:val="0096103D"/>
    <w:rsid w:val="00961E02"/>
    <w:rsid w:val="009620EC"/>
    <w:rsid w:val="00963287"/>
    <w:rsid w:val="00973FF8"/>
    <w:rsid w:val="00974EC3"/>
    <w:rsid w:val="00976F98"/>
    <w:rsid w:val="00982D57"/>
    <w:rsid w:val="00984112"/>
    <w:rsid w:val="0099461B"/>
    <w:rsid w:val="009A5085"/>
    <w:rsid w:val="009B31D7"/>
    <w:rsid w:val="009B605D"/>
    <w:rsid w:val="009C4F27"/>
    <w:rsid w:val="009D67D6"/>
    <w:rsid w:val="009E070D"/>
    <w:rsid w:val="009F0F3D"/>
    <w:rsid w:val="009F1831"/>
    <w:rsid w:val="00A02696"/>
    <w:rsid w:val="00A1322C"/>
    <w:rsid w:val="00A22A35"/>
    <w:rsid w:val="00A3020B"/>
    <w:rsid w:val="00A400E2"/>
    <w:rsid w:val="00A41EFF"/>
    <w:rsid w:val="00A46163"/>
    <w:rsid w:val="00A53E08"/>
    <w:rsid w:val="00A6447B"/>
    <w:rsid w:val="00A740D9"/>
    <w:rsid w:val="00A764FE"/>
    <w:rsid w:val="00A76B9D"/>
    <w:rsid w:val="00A81539"/>
    <w:rsid w:val="00A83EDA"/>
    <w:rsid w:val="00A86A08"/>
    <w:rsid w:val="00A87A5D"/>
    <w:rsid w:val="00A93932"/>
    <w:rsid w:val="00AA1225"/>
    <w:rsid w:val="00AA2B6E"/>
    <w:rsid w:val="00AA531D"/>
    <w:rsid w:val="00AA6A08"/>
    <w:rsid w:val="00AB3638"/>
    <w:rsid w:val="00AC02C1"/>
    <w:rsid w:val="00AC2407"/>
    <w:rsid w:val="00AE0064"/>
    <w:rsid w:val="00AE06A5"/>
    <w:rsid w:val="00AE0C33"/>
    <w:rsid w:val="00AE40B7"/>
    <w:rsid w:val="00B032FD"/>
    <w:rsid w:val="00B04189"/>
    <w:rsid w:val="00B06A19"/>
    <w:rsid w:val="00B21290"/>
    <w:rsid w:val="00B321FE"/>
    <w:rsid w:val="00B373BB"/>
    <w:rsid w:val="00B50BC6"/>
    <w:rsid w:val="00B572BD"/>
    <w:rsid w:val="00B61253"/>
    <w:rsid w:val="00B70FFA"/>
    <w:rsid w:val="00B8120C"/>
    <w:rsid w:val="00B973F9"/>
    <w:rsid w:val="00BA2956"/>
    <w:rsid w:val="00BA4243"/>
    <w:rsid w:val="00BC6D8A"/>
    <w:rsid w:val="00BE28CA"/>
    <w:rsid w:val="00BE28E1"/>
    <w:rsid w:val="00BF35B6"/>
    <w:rsid w:val="00BF6B1D"/>
    <w:rsid w:val="00C04DA6"/>
    <w:rsid w:val="00C05CFC"/>
    <w:rsid w:val="00C100DD"/>
    <w:rsid w:val="00C11304"/>
    <w:rsid w:val="00C15DC3"/>
    <w:rsid w:val="00C17C9B"/>
    <w:rsid w:val="00C17F57"/>
    <w:rsid w:val="00C209E8"/>
    <w:rsid w:val="00C24467"/>
    <w:rsid w:val="00C25A51"/>
    <w:rsid w:val="00C270DE"/>
    <w:rsid w:val="00C34555"/>
    <w:rsid w:val="00C50461"/>
    <w:rsid w:val="00C522EC"/>
    <w:rsid w:val="00C523E2"/>
    <w:rsid w:val="00C5291D"/>
    <w:rsid w:val="00C533CE"/>
    <w:rsid w:val="00C60088"/>
    <w:rsid w:val="00C6597A"/>
    <w:rsid w:val="00C759A5"/>
    <w:rsid w:val="00CA3AF6"/>
    <w:rsid w:val="00CA4294"/>
    <w:rsid w:val="00CA4608"/>
    <w:rsid w:val="00CA4D65"/>
    <w:rsid w:val="00CB282C"/>
    <w:rsid w:val="00CB3E30"/>
    <w:rsid w:val="00CC02C1"/>
    <w:rsid w:val="00CC0FED"/>
    <w:rsid w:val="00CC751B"/>
    <w:rsid w:val="00CD02C0"/>
    <w:rsid w:val="00CE3635"/>
    <w:rsid w:val="00CE7C59"/>
    <w:rsid w:val="00D04728"/>
    <w:rsid w:val="00D055DC"/>
    <w:rsid w:val="00D10360"/>
    <w:rsid w:val="00D17FE3"/>
    <w:rsid w:val="00D20B66"/>
    <w:rsid w:val="00D25CB6"/>
    <w:rsid w:val="00D355D4"/>
    <w:rsid w:val="00D4197A"/>
    <w:rsid w:val="00D447B0"/>
    <w:rsid w:val="00D453D4"/>
    <w:rsid w:val="00D606E3"/>
    <w:rsid w:val="00D61628"/>
    <w:rsid w:val="00D640A4"/>
    <w:rsid w:val="00D64E31"/>
    <w:rsid w:val="00D66687"/>
    <w:rsid w:val="00D66AA1"/>
    <w:rsid w:val="00D67292"/>
    <w:rsid w:val="00D724FD"/>
    <w:rsid w:val="00D74B44"/>
    <w:rsid w:val="00D77F2F"/>
    <w:rsid w:val="00D81994"/>
    <w:rsid w:val="00D825CC"/>
    <w:rsid w:val="00D852E6"/>
    <w:rsid w:val="00D86218"/>
    <w:rsid w:val="00D86AE5"/>
    <w:rsid w:val="00D87326"/>
    <w:rsid w:val="00D9711F"/>
    <w:rsid w:val="00DA162D"/>
    <w:rsid w:val="00DA5016"/>
    <w:rsid w:val="00DA7F96"/>
    <w:rsid w:val="00DB3F4C"/>
    <w:rsid w:val="00DC3039"/>
    <w:rsid w:val="00DC6C96"/>
    <w:rsid w:val="00DC6DD6"/>
    <w:rsid w:val="00DD0F1F"/>
    <w:rsid w:val="00DD2404"/>
    <w:rsid w:val="00DE45E6"/>
    <w:rsid w:val="00DE4AE4"/>
    <w:rsid w:val="00DE7C68"/>
    <w:rsid w:val="00DF6084"/>
    <w:rsid w:val="00E06380"/>
    <w:rsid w:val="00E106E8"/>
    <w:rsid w:val="00E10C72"/>
    <w:rsid w:val="00E120F3"/>
    <w:rsid w:val="00E12830"/>
    <w:rsid w:val="00E20A0B"/>
    <w:rsid w:val="00E242A2"/>
    <w:rsid w:val="00E27282"/>
    <w:rsid w:val="00E276EA"/>
    <w:rsid w:val="00E3625E"/>
    <w:rsid w:val="00E449A1"/>
    <w:rsid w:val="00E54A5D"/>
    <w:rsid w:val="00E57AF1"/>
    <w:rsid w:val="00E63187"/>
    <w:rsid w:val="00E637AD"/>
    <w:rsid w:val="00E75623"/>
    <w:rsid w:val="00E77B0C"/>
    <w:rsid w:val="00E846F6"/>
    <w:rsid w:val="00E86627"/>
    <w:rsid w:val="00EB15C1"/>
    <w:rsid w:val="00EB6A21"/>
    <w:rsid w:val="00EC3438"/>
    <w:rsid w:val="00EC73AE"/>
    <w:rsid w:val="00EE0CF8"/>
    <w:rsid w:val="00EE6CB7"/>
    <w:rsid w:val="00EF5A00"/>
    <w:rsid w:val="00EF68B5"/>
    <w:rsid w:val="00EF6B76"/>
    <w:rsid w:val="00F0038E"/>
    <w:rsid w:val="00F16B2F"/>
    <w:rsid w:val="00F16E2E"/>
    <w:rsid w:val="00F32E43"/>
    <w:rsid w:val="00F333CD"/>
    <w:rsid w:val="00F3567B"/>
    <w:rsid w:val="00F361DC"/>
    <w:rsid w:val="00F405CF"/>
    <w:rsid w:val="00F62CE8"/>
    <w:rsid w:val="00F72438"/>
    <w:rsid w:val="00F77169"/>
    <w:rsid w:val="00F77BD6"/>
    <w:rsid w:val="00F77D19"/>
    <w:rsid w:val="00F8757A"/>
    <w:rsid w:val="00F9622F"/>
    <w:rsid w:val="00FA1340"/>
    <w:rsid w:val="00FA65E5"/>
    <w:rsid w:val="00FB541E"/>
    <w:rsid w:val="00FB6BD7"/>
    <w:rsid w:val="00FC2CB5"/>
    <w:rsid w:val="00FD053C"/>
    <w:rsid w:val="00FD096C"/>
    <w:rsid w:val="00FF3274"/>
    <w:rsid w:val="00FF3527"/>
    <w:rsid w:val="0E436C20"/>
    <w:rsid w:val="17A04627"/>
    <w:rsid w:val="20A469F6"/>
    <w:rsid w:val="21775EB6"/>
    <w:rsid w:val="219F6DDC"/>
    <w:rsid w:val="266520A0"/>
    <w:rsid w:val="27BE2B14"/>
    <w:rsid w:val="3DFD185E"/>
    <w:rsid w:val="3E67541E"/>
    <w:rsid w:val="47ED09B1"/>
    <w:rsid w:val="4E8F3EEE"/>
    <w:rsid w:val="67A956C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游明朝" w:hAnsi="游明朝" w:eastAsia="游明朝" w:cs="Times New Roman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outlineLvl w:val="0"/>
    </w:pPr>
    <w:rPr>
      <w:rFonts w:ascii="游ゴシック Light" w:hAnsi="游ゴシック Light" w:eastAsia="游ゴシック Light"/>
      <w:sz w:val="24"/>
      <w:szCs w:val="2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outlineLvl w:val="1"/>
    </w:pPr>
    <w:rPr>
      <w:rFonts w:ascii="游ゴシック Light" w:hAnsi="游ゴシック Light" w:eastAsia="游ゴシック Light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6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annotation text"/>
    <w:basedOn w:val="1"/>
    <w:link w:val="19"/>
    <w:unhideWhenUsed/>
    <w:uiPriority w:val="99"/>
    <w:pPr>
      <w:jc w:val="left"/>
    </w:pPr>
  </w:style>
  <w:style w:type="paragraph" w:styleId="6">
    <w:name w:val="annotation subject"/>
    <w:basedOn w:val="5"/>
    <w:next w:val="5"/>
    <w:link w:val="20"/>
    <w:unhideWhenUsed/>
    <w:uiPriority w:val="99"/>
    <w:rPr>
      <w:b/>
      <w:bCs/>
    </w:rPr>
  </w:style>
  <w:style w:type="paragraph" w:styleId="7">
    <w:name w:val="Balloon Text"/>
    <w:basedOn w:val="1"/>
    <w:link w:val="18"/>
    <w:unhideWhenUsed/>
    <w:uiPriority w:val="99"/>
    <w:rPr>
      <w:rFonts w:ascii="游ゴシック Light" w:hAnsi="游ゴシック Light" w:eastAsia="游ゴシック Light"/>
      <w:sz w:val="18"/>
      <w:szCs w:val="18"/>
    </w:rPr>
  </w:style>
  <w:style w:type="paragraph" w:styleId="8">
    <w:name w:val="header"/>
    <w:basedOn w:val="1"/>
    <w:link w:val="15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10">
    <w:name w:val="annotation reference"/>
    <w:basedOn w:val="9"/>
    <w:unhideWhenUsed/>
    <w:uiPriority w:val="99"/>
    <w:rPr>
      <w:sz w:val="18"/>
      <w:szCs w:val="18"/>
    </w:rPr>
  </w:style>
  <w:style w:type="table" w:styleId="12">
    <w:name w:val="Table Grid"/>
    <w:basedOn w:val="11"/>
    <w:uiPriority w:val="39"/>
    <w:pPr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List Paragraph"/>
    <w:basedOn w:val="1"/>
    <w:qFormat/>
    <w:uiPriority w:val="34"/>
    <w:pPr>
      <w:ind w:left="840" w:leftChars="400"/>
    </w:pPr>
  </w:style>
  <w:style w:type="character" w:customStyle="1" w:styleId="14">
    <w:name w:val="見出し 1 (文字)"/>
    <w:basedOn w:val="9"/>
    <w:link w:val="2"/>
    <w:uiPriority w:val="9"/>
    <w:rPr>
      <w:rFonts w:ascii="游ゴシック Light" w:hAnsi="游ゴシック Light" w:eastAsia="游ゴシック Light"/>
      <w:sz w:val="24"/>
      <w:szCs w:val="24"/>
    </w:rPr>
  </w:style>
  <w:style w:type="character" w:customStyle="1" w:styleId="15">
    <w:name w:val="ヘッダー (文字)"/>
    <w:basedOn w:val="9"/>
    <w:link w:val="8"/>
    <w:uiPriority w:val="99"/>
    <w:rPr/>
  </w:style>
  <w:style w:type="character" w:customStyle="1" w:styleId="16">
    <w:name w:val="フッター (文字)"/>
    <w:basedOn w:val="9"/>
    <w:link w:val="4"/>
    <w:uiPriority w:val="99"/>
    <w:rPr/>
  </w:style>
  <w:style w:type="character" w:customStyle="1" w:styleId="17">
    <w:name w:val="見出し 2 (文字)"/>
    <w:basedOn w:val="9"/>
    <w:link w:val="3"/>
    <w:uiPriority w:val="9"/>
    <w:rPr>
      <w:rFonts w:ascii="游ゴシック Light" w:hAnsi="游ゴシック Light" w:eastAsia="游ゴシック Light"/>
    </w:rPr>
  </w:style>
  <w:style w:type="character" w:customStyle="1" w:styleId="18">
    <w:name w:val="吹き出し (文字)"/>
    <w:basedOn w:val="9"/>
    <w:link w:val="7"/>
    <w:semiHidden/>
    <w:uiPriority w:val="99"/>
    <w:rPr>
      <w:rFonts w:ascii="游ゴシック Light" w:hAnsi="游ゴシック Light" w:eastAsia="游ゴシック Light"/>
      <w:sz w:val="18"/>
      <w:szCs w:val="18"/>
    </w:rPr>
  </w:style>
  <w:style w:type="character" w:customStyle="1" w:styleId="19">
    <w:name w:val="コメント文字列 (文字)"/>
    <w:basedOn w:val="9"/>
    <w:link w:val="5"/>
    <w:semiHidden/>
    <w:uiPriority w:val="99"/>
    <w:rPr/>
  </w:style>
  <w:style w:type="character" w:customStyle="1" w:styleId="20">
    <w:name w:val="コメント内容 (文字)"/>
    <w:basedOn w:val="19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KASHIWA</Company>
  <Pages>16</Pages>
  <Words>2148</Words>
  <Characters>12249</Characters>
  <Lines>102</Lines>
  <Paragraphs>28</Paragraphs>
  <ScaleCrop>false</ScaleCrop>
  <LinksUpToDate>false</LinksUpToDate>
  <CharactersWithSpaces>0</CharactersWithSpaces>
  <Application>Kingsoft Office Professional_9.1.0.4917_{F1E327BC-269C-435d-A152-05C5408002CA}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2018-01-15T02:11:00Z</dcterms:created>
  <dc:creator>自殺総合対策推進センター　http://jssc.ncnp.go.jp</dc:creator>
  <cp:lastModifiedBy>shakaifukushi7</cp:lastModifiedBy>
  <cp:lastPrinted>2018-07-18T04:38:00Z</cp:lastPrinted>
  <dcterms:modified xsi:type="dcterms:W3CDTF">2018-07-20T00:13:10Z</dcterms:modified>
  <dc:subject>【千葉県柏市】</dc:subject>
  <dc:title>地域自殺実態プロファイル【2017】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